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105 BayBeamtVG (Bayern) — Hinterbliebenenversorgung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Hinterbliebenenversorgung aus einer vor dem 1. Januar 2002 geschlossenen Ehe, bei der mindestens ein Ehegatte vor dem 2. Januar 1962 geboren ist, beträgt das Witwengeld (Art. 35) 60 v.H. des Ruhegehalts, das der oder die Verstorbene erhalten hat oder hätte erhalten können, wenn er oder sie am Todestag in den Ruhestand getreten wäre; Art. 74 ist in diesen Fällen nicht anzuwenden.</w:t>
      </w:r>
    </w:p>
    <w:p>
      <w:r>
        <w:t xml:space="preserve">(2) Wenn die Ehe vor dem 1. Juli 1977 geschieden worden ist, ist dem schuldlos oder aus überwiegendem Verschulden des anderen Ehepartners geschiedenen Ehepartner eines verstorbenen Beamten oder Ruhestandsbeamten oder einer verstorbenen Beamtin oder Ruhestandsbeamtin, die oder der im Fall des Fortbestehens der Ehe Witwengeld erhalten hätte, ein Unterhaltsbeitrag bis zur Höhe des Witwengeldes insoweit zu gewähren, als der oder die Verstorbene zu Lebzeiten noch Unterhalt zu leisten hatte. Eine später eingetretene oder eintretende Änderung der Verhältnisse kann berücksichtigt werden. Dies gilt entsprechend für den früheren Ehepartner eines verstorbenen Beamten oder einer verstorbenen Beamtin, der oder die einem schuldlos oder aus überwiegendem Verschulden des anderen Ehepartners geschiedenen Ehepartner gleichgestellt ist und dessen oder deren Ehe aufgehoben oder für nichtig erklärt war.</w:t>
      </w:r>
    </w:p>
    <w:p>
      <w:r>
        <w:t xml:space="preserve">(3) Einem geschiedenen Ehepartner, der im Fall des Fortbestehens der Ehe Witwengeld erhalten hätte, ist auf Antrag ein Unterhaltsbeitrag insoweit zu gewähren, als der geschiedene Ehepartner im Zeitpunkt des Todes gegen den Versorgungsurheber einen Anspruch auf schuldrechtlichen Versorgungsausgleich nach § 1587f Nr. 2 BGB in der am 31. August 2009 geltenden Fassung wegen einer Anwartschaft oder eines Anspruchs nach § 1587a Abs. 2 Nr. 1 BGB in der am 31. August 2009 geltenden Fassung hatte. Der Unterhaltsbeitrag wird jedoch nur gewährt,</w:t>
      </w:r>
    </w:p>
    <w:p>
      <w:r>
        <w:t xml:space="preserve">1. solange der geschiedene Ehepartner erwerbsgemindert im Sinn des Sechsten Buches Sozialgesetzbuch ist oder</w:t>
      </w:r>
    </w:p>
    <w:p>
      <w:r>
        <w:t xml:space="preserve">2. solange er mindestens ein waisengeldberechtigtes Kind erzieht oder die Sorge für ein waisengeldberechtigtes Kind mit körperlichen oder geistigen Gebrechen hat oder</w:t>
      </w:r>
    </w:p>
    <w:p>
      <w:r>
        <w:t xml:space="preserve">3. wenn er die Regelaltersgrenze nach §§ 35, 235 SGB VI erreicht hat.</w:t>
      </w:r>
    </w:p>
    <w:p>
      <w:r>
        <w:t xml:space="preserve">Der nach Satz 1 festgestellte Betrag ist in einem Vomhundertsatz des Witwengeldes festzusetzen; der Unterhaltsbeitrag darf fünf Sechstel des entsprechend Art. 92 gekürzten Witwengeldes nicht übersteigen. Dem geschiedenen Ehepartner werden frühere Ehepartner einer aufgehobenen oder für nichtig erklärten Ehe gleichgestellt. Art. 37, 42 und 43 gelten entsprechend.</w:t>
      </w:r>
    </w:p>
    <w:p>
      <w:r>
        <w:t xml:space="preserve">(4) Wenn das Scheidungsverfahren bis zum 31. Juli 1989 rechtshängig geworden ist oder die Parteien bis zum 31. Juli 1989 eine Vereinbarung nach § 1587o BGB in der damals geltenden Fassung getroffen haben, ist ein Unterhaltsbeitrag nach Abs. 3 auch insoweit zu gewähren, als ein Anspruch auf schuldrechtlichen Versorgungsausgleich besteht, weil</w:t>
      </w:r>
    </w:p>
    <w:p>
      <w:r>
        <w:t xml:space="preserve">1. die Begründung von Rentenanwartschaften in einer gesetzlichen Rentenversicherung mit Rücksicht auf die Vorschrift des § 1587b Abs. 3 Satz 1 zweiter Halbsatz BGB nicht möglich war,</w:t>
      </w:r>
    </w:p>
    <w:p>
      <w:r>
        <w:t xml:space="preserve">2. der ausgleichspflichtige Ehegatte die ihm nach § 1587b Abs. 3 Satz 1 erster Halbsatz BGB auferlegten Zahlungen zur Begründung von Rentenanwartschaften in einer gesetzlichen Rentenversicherung nicht erbracht hat,</w:t>
      </w:r>
    </w:p>
    <w:p>
      <w:r>
        <w:t xml:space="preserve">3. in den Ausgleich Leistungen der betrieblichen Altersversorgung auf Grund solcher Anwartschaften oder Aussichten einzubeziehen sind, die im Zeitpunkt des Erlasses der Entscheidung noch nicht unverfallbar waren, oder</w:t>
      </w:r>
    </w:p>
    <w:p>
      <w:r>
        <w:t xml:space="preserve">4. das Familiengericht nach § 1587b Abs. 4 BGB eine Regelung in der Form des schuldrechtlichen Versorgungsausgleichs getroffen hat oder die Ehegatten nach § 1587o BGB den schuldrechtlichen Versorgungsausgleich vereinbart haben.</w:t>
      </w:r>
    </w:p>
    <w:p>
      <w:r>
        <w:rPr>
          <w:color w:val="555555"/>
          <w:sz w:val="17"/>
        </w:rPr>
        <w:t xml:space="preserve">Zitiervorschlag: Art 105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https://recht.nulegal.eu/gesetze/BayBeamtVG/105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