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BayBadeGewV (Bayern) — Badegewässerprofile</w:t>
      </w:r>
    </w:p>
    <w:p>
      <w:r>
        <w:rPr>
          <w:color w:val="555555"/>
          <w:sz w:val="18"/>
        </w:rPr>
        <w:t xml:space="preserve">Bayerische Badegewässerverordnung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Kreisverwaltungsbehörden erstellen unter Mitwirkung der wasserwirtschaftlichen Fachbehörden Badegewässerprofile gemäß Anlage 3 . Jedes Badegewässerprofil kann sich auf ein einzelnes Badegewässer oder auf mehrere zusammenhängende Badegewässer erstrecken.</w:t>
      </w:r>
    </w:p>
    <w:p>
      <w:r>
        <w:t xml:space="preserve">(2) Die Badegewässerprofile sind gemäß Anlage 3 zu überprüfen und zu aktualisieren.</w:t>
      </w:r>
    </w:p>
    <w:p>
      <w:r>
        <w:t xml:space="preserve">(3) Bei der Erstellung, Überprüfung und Aktualisierung der Badegewässerprofile sind die bei der Überwachung und den Bewertungen gemäß den rechtlichen Regelungen zur Umsetzung der Richtlinie 2000/60/EG des Europäischen Parlaments und des Rates vom 23. Oktober 2000 zur Schaffung eines Ordnungsrahmens für Maßnahmen der Gemeinschaft im Bereich der Wasserpolitik (ABl L 327 S. 1), zuletzt geändert durch Richtlinie 2009/31/EG vom 23. April 2009 (ABl L 140 S. 114), erhobenen Daten, die für die vorliegende Verordnung von Belang sind, in angemessener Weise zu nutzen.</w:t>
      </w:r>
    </w:p>
    <w:p>
      <w:r>
        <w:rPr>
          <w:color w:val="555555"/>
          <w:sz w:val="17"/>
        </w:rPr>
        <w:t xml:space="preserve">Zitiervorschlag: § 6 BayBadeGewV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https://recht.nulegal.eu/gesetze/BayBadeGewV/6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