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BayBadeGewV (Bayern) — Inkrafttreten, Außerkrafttreten</w:t>
      </w:r>
    </w:p>
    <w:p>
      <w:r>
        <w:rPr>
          <w:color w:val="555555"/>
          <w:sz w:val="18"/>
        </w:rPr>
        <w:t xml:space="preserve">Bayerische Badegewässerverordnung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2008 in Kraft.</w:t>
      </w:r>
    </w:p>
    <w:p>
      <w:r>
        <w:rPr>
          <w:color w:val="555555"/>
          <w:sz w:val="17"/>
        </w:rPr>
        <w:t xml:space="preserve">Zitiervorschlag: § 14 BayBadeGewV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https://recht.nulegal.eu/gesetze/BayBadeGewV/14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