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BayBadeGewV (Bayern) — Berichterstattung</w:t>
      </w:r>
    </w:p>
    <w:p>
      <w:r>
        <w:rPr>
          <w:color w:val="555555"/>
          <w:sz w:val="18"/>
        </w:rPr>
        <w:t xml:space="preserve">Bayerische Badegewässerverordnung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untere Behörde für Gesundheit, Veterinärwesen, Ernährung und Verbraucherschutz übermittelt dem Landesamt für Gesundheit und Lebensmittelsicherheit bis zum 31. Oktober jeden Jahres für die vorangegangene Badesaison die gemäß § 3 ermittelten und zusammengestellten Überwachungsergebnisse, die Bewertung der Badegewässerqualität gemäß § 4, eine Beschreibung der wichtigsten Bewirtschaftungsmaßnahmen, die ergriffen wurden, sowie Informationen über Aussetzungen des Überwachungszeitplans gemäß § 3 Abs. 7.</w:t>
      </w:r>
    </w:p>
    <w:p>
      <w:r>
        <w:t xml:space="preserve">(2) Das Landesamt für Gesundheit und Lebensmittelsicherheit meldet die Daten an das Umweltbundesamt zur Weitergabe an die Kommission der Europäischen Union.</w:t>
      </w:r>
    </w:p>
    <w:p>
      <w:r>
        <w:rPr>
          <w:color w:val="555555"/>
          <w:sz w:val="17"/>
        </w:rPr>
        <w:t xml:space="preserve">Zitiervorschlag: § 13 BayBadeGewV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https://recht.nulegal.eu/gesetze/BayBadeGewV/13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