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BayBTWahlOrgV (Bayern)</w:t>
      </w:r>
    </w:p>
    <w:p>
      <w:r>
        <w:rPr>
          <w:color w:val="555555"/>
          <w:sz w:val="18"/>
        </w:rPr>
        <w:t xml:space="preserve">Verordnung über die Bildung der Wahlorgane für die Wahl zum Deutschen Bundestag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8 Abs. 3 und § 9 Abs. 1 und 2 Satz 2 des Bundeswahlgesetzes erläßt die Bayerische Staatsregierung folgende Verordnung:</w:t>
      </w:r>
    </w:p>
    <w:p>
      <w:r>
        <w:rPr>
          <w:color w:val="555555"/>
          <w:sz w:val="17"/>
        </w:rPr>
        <w:t xml:space="preserve">Zitiervorschlag: Eingangsformel BayBTWahlOrgV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https://recht.nulegal.eu/gesetze/BayBTWahlOrgV/eingangsformel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