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BayBTWahlOrgV (Bayern)</w:t>
      </w:r>
    </w:p>
    <w:p>
      <w:r>
        <w:rPr>
          <w:color w:val="555555"/>
          <w:sz w:val="18"/>
        </w:rPr>
        <w:t xml:space="preserve">Verordnung über die Bildung der Wahlorgane für die Wahl zum Deutschen Bundestag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Diese Verordnung tritt am 15. März 1980 in Kraft.</w:t>
      </w:r>
    </w:p>
    <w:p>
      <w:r>
        <w:t xml:space="preserve">(2) (gegenstandslos)</w:t>
      </w:r>
    </w:p>
    <w:p>
      <w:r>
        <w:t xml:space="preserve">[Amtl. Anm.:] Betrifft die ursprüngliche Fassung vom 4. März 1980 (GVBl. S. 141)</w:t>
      </w:r>
    </w:p>
    <w:p>
      <w:r>
        <w:rPr>
          <w:color w:val="555555"/>
          <w:sz w:val="17"/>
        </w:rPr>
        <w:t xml:space="preserve">Zitiervorschlag: § 4 BayBTWahlOrgV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https://recht.nulegal.eu/gesetze/BayBTWahlOrgV/4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