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BayBTWahlOrgV (Bayern)</w:t>
      </w:r>
    </w:p>
    <w:p>
      <w:r>
        <w:rPr>
          <w:color w:val="555555"/>
          <w:sz w:val="18"/>
        </w:rPr>
        <w:t xml:space="preserve">Verordnung über die Bildung der Wahlorgane für die Wahl zum Deutschen Bundestag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des Innern, für Sport und Integration ernennt den Landeswahlleiter und seinen Stellvertreter, die Regierungen ernennen die Kreiswahlleiter und deren Stellvertreter.</w:t>
      </w:r>
    </w:p>
    <w:p>
      <w:r>
        <w:rPr>
          <w:color w:val="555555"/>
          <w:sz w:val="17"/>
        </w:rPr>
        <w:t xml:space="preserve">Zitiervorschlag: § 2 BayBTWahlOrgV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https://recht.nulegal.eu/gesetze/BayBTWahlOrgV/2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