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BayBRRG_126 (Bayern)</w:t>
      </w:r>
    </w:p>
    <w:p>
      <w:r>
        <w:rPr>
          <w:color w:val="555555"/>
          <w:sz w:val="18"/>
        </w:rPr>
        <w:t xml:space="preserve">Verordnung zur Durchführung des § 54 Abs. 3 des Beamtenstatusgesetzes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Über den Widerspruch eines Beamten, Ruhestandsbeamten oder früheren Beamten des Freistaates Bayern und ihrer Hinterbliebenen in beamtenrechtlichen Angelegenheiten gemäß § 54 Abs. 1 bis 3 des Beamtenstatusgesetzes entscheidet die nächsthöhere Behörde.</w:t>
      </w:r>
    </w:p>
    <w:p>
      <w:r>
        <w:t xml:space="preserve">(2) Ist die nächsthöhere Behörde eine oberste Dienstbehörde, so entscheidet die Behörde, gegen deren Verhalten sich der Widerspruch richtet (Ausgangsbehörde). Das gleiche gilt, wenn die Ausgangsbehörde eine oberste Dienstbehörde ist.</w:t>
      </w:r>
    </w:p>
    <w:p>
      <w:r>
        <w:rPr>
          <w:color w:val="555555"/>
          <w:sz w:val="17"/>
        </w:rPr>
        <w:t xml:space="preserve">Zitiervorschlag: § 1 BayBRRG_126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https://recht.nulegal.eu/gesetze/BayBRRG_126/1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