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14a BayBQFG (Bayern) — Besonderheiten im Fall des beschleunigten Fachkräfteverfahrens nach § 81a des Aufenthaltsgesetzes</w:t>
      </w:r>
    </w:p>
    <w:p>
      <w:r>
        <w:rPr>
          <w:color w:val="555555"/>
          <w:sz w:val="18"/>
        </w:rPr>
        <w:t xml:space="preserve">Bayerisches Berufsqualifikationsfeststellungsgesetz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Art. 6 Abs. 2 sowie Art. 13 Abs. 1 gelten mit der Maßgabe, dass der Eingang des Antrags innerhalb von zwei Wochen zu bestätigen ist und die Entscheidungsfrist des Abs. 2 Anwendung findet. Der Schriftwechsel erfolgt über die zuständige Ausländerbehörde.</w:t>
      </w:r>
    </w:p>
    <w:p>
      <w:r>
        <w:t xml:space="preserve">(2) Die zuständige Stelle soll innerhalb von zwei Monaten über die Gleichwertigkeit entscheiden. Es gelten Art. 6 Abs. 3 Satz 2 bis 4 sowie Art. 13 Abs. 2 Satz 2 bis 5. Der Schriftwechsel erfolgt über und die Zustellung der Entscheidung erfolgt durch die zuständige Ausländerbehörde an den Arbeitgeber.</w:t>
      </w:r>
    </w:p>
    <w:p>
      <w:r>
        <w:t xml:space="preserve">(3) Art. 6 Abs. 4 sowie Art. 13 Abs. 3 gelten mit der Maßgabe, dass die Frist nach Abs. 2 Satz 1 Anwendung findet.</w:t>
      </w:r>
    </w:p>
    <w:p>
      <w:r>
        <w:t xml:space="preserve">(4) Die Entscheidung der zuständigen Stelle richtet sich nach dem jeweiligen Fachrecht.</w:t>
      </w:r>
    </w:p>
    <w:p>
      <w:r>
        <w:t xml:space="preserve">(5) Art. 6 Abs. 5 findet Anwendung.</w:t>
      </w:r>
    </w:p>
    <w:p>
      <w:r>
        <w:rPr>
          <w:color w:val="555555"/>
          <w:sz w:val="17"/>
        </w:rPr>
        <w:t xml:space="preserve">Zitiervorschlag: Art 14a BayBQFG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https://recht.nulegal.eu/gesetze/BayBQFG/14a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