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13c BayBQFG (Bayern) — Partieller Zugang</w:t>
      </w:r>
    </w:p>
    <w:p>
      <w:r>
        <w:rPr>
          <w:color w:val="555555"/>
          <w:sz w:val="18"/>
        </w:rPr>
        <w:t xml:space="preserve">Bayerisches Berufsqualifikationsfeststellungsgesetz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Liegen sämtliche Voraussetzungen des Art. 4f der Richtlinie 2005/36/EG vor, so gewährt die zuständige Stelle gemäß den Vorgaben dieses Artikels auf Antrag und auf Einzelfallbasis einen partiellen Zugang zu einer reglementierten Berufstätigkeit.</w:t>
      </w:r>
    </w:p>
    <w:p>
      <w:r>
        <w:t xml:space="preserve">(2) Die Berufsbezeichnung ist in deutscher Sprache zu führen. Gegenüber dem Empfänger der Dienstleistung ist der Umfang der beruflichen Tätigkeit eindeutig anzugeben.</w:t>
      </w:r>
    </w:p>
    <w:p>
      <w:r>
        <w:rPr>
          <w:color w:val="555555"/>
          <w:sz w:val="17"/>
        </w:rPr>
        <w:t xml:space="preserve">Zitiervorschlag: Art 13c BayBQFG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https://recht.nulegal.eu/gesetze/BayBQFG/13c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