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BayBO (Bayern) — Baustelle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Baustellen sind so einzurichten, dass bauliche Anlagen ordnungsgemäß errichtet, geändert, beseitigt oder instand gehalten werden können und dass keine Gefahren, vermeidbaren Nachteile oder vermeidbaren Belästigungen entstehen.</w:t>
      </w:r>
    </w:p>
    <w:p>
      <w:r>
        <w:t xml:space="preserve">(2) Öffentliche Verkehrsflächen, Versorgungs-, Abwasserbeseitigungs- und Meldeanlagen, Grundwassermessstellen, Vermessungszeichen, Abmarkungszeichen und Grenzzeichen sind für die Dauer der Bauausführung zu schützen und, soweit erforderlich, unter den notwendigen Sicherheitsvorkehrungen zugänglich zu halten.</w:t>
      </w:r>
    </w:p>
    <w:p>
      <w:r>
        <w:t xml:space="preserve">(3) Bei der Ausführung nicht verfahrensfreier Bauvorhaben hat der Bauherr an der Baustelle ein Schild, das die Bezeichnung des Bauvorhabens sowie die Namen und Anschriften des Bauherrn und des Entwurfsverfassers enthalten muss, dauerhaft und von der öffentlichen Verkehrsfläche aus sichtbar anzubringen.</w:t>
      </w:r>
    </w:p>
    <w:p>
      <w:r>
        <w:rPr>
          <w:color w:val="555555"/>
          <w:sz w:val="17"/>
        </w:rPr>
        <w:t xml:space="preserve">Zitiervorschlag: Art 9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