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82c BayBO (Bayern) — Bau-Turbo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zu einem Vorhaben die Zustimmung der Gemeinde nach § 36a BauGB erforderlich, fordert die Bauaufsichtsbehörde die Gemeinde unverzüglich zur Entscheidung über ihre Zustimmung auf. In diesem Fall endet die Frist zur Entscheidung nach Art. 68 Abs. 2 frühestens einen Monat nach dem Eingang der Entscheidung der Gemeinde bei der Bauaufsichtsbehörde oder dem Ablauf der Frist nach § 36a Abs. 1 Satz 4 oder § 36a Abs. 2 Satz 2 BauGB.</w:t>
      </w:r>
    </w:p>
    <w:p>
      <w:r>
        <w:t xml:space="preserve">(2) Abs. 1 gilt für Vorhaben, zu denen die Zustimmung der Gemeinde nach § 246e Abs. 1 und 2 BauGB in Verbindung mit § 36a BauGB erforderlich ist, entsprechend. In den Fällen des § 246e Abs. 1 Satz 2 oder Satz 3 BauGB kann die Bauaufsichtsbehörde den Lauf der Frist des Art. 68 Abs. 2 aufheben, wenn die Wahrung der Frist auch bei sachgerechter Beschleunigung nicht möglich erscheint.</w:t>
      </w:r>
    </w:p>
    <w:p>
      <w:r>
        <w:t xml:space="preserve">(3) Die Bauaufsichtsbehörde informiert den Bauherrn unverzüglich über eintretende Änderungen nach den Abs. 1 und 2.</w:t>
      </w:r>
    </w:p>
    <w:p>
      <w:r>
        <w:rPr>
          <w:color w:val="555555"/>
          <w:sz w:val="17"/>
        </w:rPr>
        <w:t xml:space="preserve">Zitiervorschlag: Art 82c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https://recht.nulegal.eu/gesetze/BayBO/82c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