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BayBO (Bayern) — Windenergie und Nutzungsänderung ehemaliger landwirtschaftlicher Gebäude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35 Abs. 1 Nr. 5 BauGB findet auf Vorhaben, die der Erforschung, Entwicklung oder Nutzung der Windenergie dienen, nur Anwendung, wenn diese Vorhaben einen Mindestabstand vom 10-fachen ihrer Höhe zu Wohngebäuden in Gebieten mit Bebauungsplänen (§ 30 BauGB), innerhalb im Zusammenhang bebauter Ortsteile (§ 34 BauGB) – sofern in diesen Gebieten Wohngebäude nicht nur ausnahmsweise zulässig sind – und im Geltungsbereich von Satzungen nach § 35 Abs. 6 BauGB einhalten.</w:t>
      </w:r>
    </w:p>
    <w:p>
      <w:r>
        <w:t xml:space="preserve">(2) Höhe im Sinn des Abs. 1 ist die Nabenhöhe zuzüglich Radius des Rotors. Der Abstand bemisst sich von der Mitte des Mastfußes bis zum nächstgelegenen Wohngebäude, das im jeweiligen Gebiet im Sinn des Abs. 1 zulässigerweise errichtet wurde bzw. errichtet werden kann.</w:t>
      </w:r>
    </w:p>
    <w:p>
      <w:r>
        <w:t xml:space="preserve">(3) Soll auf einem gemeindefreien Gebiet ein Vorhaben nach Abs. 1, das nicht unter Abs. 5 fällt, errichtet werden und würde der in Abs. 1 beschriebene Mindestabstand auch entsprechende Wohngebäude auf dem Gebiet einer Nachbargemeinde einschließen, gilt hinsichtlich dieser Gebäude der Schutz der Abs. 1 und 2, solange und soweit die Gemeinde nichts anderes in einem ortsüblich bekannt gemachten Beschluss feststellt.</w:t>
      </w:r>
    </w:p>
    <w:p>
      <w:r>
        <w:t xml:space="preserve">(4) Abs. 1 und 2 finden keine Anwendung,</w:t>
      </w:r>
    </w:p>
    <w:p>
      <w:r>
        <w:t xml:space="preserve">1. wenn in einem Flächennutzungsplan für Vorhaben der in Abs. 1 beschriebenen Art vor dem 21. November 2014 eine Darstellung für die Zwecke des § 35 Abs. 3 Satz 3 BauGB erfolgt ist,</w:t>
      </w:r>
    </w:p>
    <w:p>
      <w:r>
        <w:t xml:space="preserve">2. soweit und sobald die Gemeinde der Fortgeltung der Darstellung nicht bis einschließlich 21. Mai 2015 in einem ortsüblich bekannt gemachten Beschluss widerspricht und</w:t>
      </w:r>
    </w:p>
    <w:p>
      <w:r>
        <w:t xml:space="preserve">3. soweit und sobald auch eine betroffene Nachbargemeinde der Fortgeltung der Darstellung nicht bis einschließlich 21. Mai 2015 in einem ortsüblich bekannt gemachten Beschluss widerspricht; als betroffen gilt dabei eine Nachbargemeinde, deren Wohngebäude in Gebieten im Sinn des Abs. 1 in einem geringeren Abstand als dem 10-fachen der Höhe der Windkraftanlagen, sofern der Flächennutzungsplan jedoch keine Regelung enthält, maximal in einem Abstand von 2 000 m, stehen.</w:t>
      </w:r>
    </w:p>
    <w:p>
      <w:r>
        <w:t xml:space="preserve">(5) Die Abs. 1 und 2 finden ferner keine Anwendung auf Vorhaben, die der Erforschung, Entwicklung oder Nutzung der Windenergie dienen, welche</w:t>
      </w:r>
    </w:p>
    <w:p>
      <w:r>
        <w:t xml:space="preserve">1. in Vorrang- und Vorbehaltsgebieten für Windkraft im Sinn des Art. 16 Abs. 2 Satz 1 Nr. 1 und 2 des Bayerischen Landesplanungsgesetzes oder auf Sonderbauflächen oder in Sondergebieten für Windkraft, die durch Flächennutzungsplan festgesetzt sind, errichtet werden,</w:t>
      </w:r>
    </w:p>
    <w:p>
      <w:r>
        <w:t xml:space="preserve">2. in einem Abstand von höchstens 2 000 m zu einem Gewerbe- oder Industriegebiet errichtet werden und bei denen der erzeugte Strom überwiegend zur Versorgung der in dem Gewerbe- oder Industriegebiet liegenden Gewerbe- und Industriebetriebe bestimmt ist,</w:t>
      </w:r>
    </w:p>
    <w:p>
      <w:r>
        <w:t xml:space="preserve">3. längs von Haupteisenbahnstrecken im Sinn des § 47b Nr. 4 BImSchG, Bundesautobahnen oder vier- oder mehrstreifigen Bundesstraßen in einer Entfernung von bis zu 500 m errichtet werden; die in § 9 des Bundesfernstraßengesetzes geregelten Anbauverbots- und Anbaubeschränkungszonen, sich aus anderen öffentlich-rechtlichen Vorschriften ergebende gesetzliche Mindestabstände sowie im Einzelfall darüber hinaus erforderliche Sicherheitsabstände sind hinzuzurechnen,</w:t>
      </w:r>
    </w:p>
    <w:p>
      <w:r>
        <w:t xml:space="preserve">4. die Voraussetzungen des § 16b Abs. 1 und 2 BImSchG in der am 31. August 2021 geltenden Fassung erfüllen,</w:t>
      </w:r>
    </w:p>
    <w:p>
      <w:r>
        <w:t xml:space="preserve">5. auf militärischem Übungsgelände errichtet werden oder</w:t>
      </w:r>
    </w:p>
    <w:p>
      <w:r>
        <w:t xml:space="preserve">6. im Wald im Sinn des Art. 2 Abs. 1 und 2 des Bayerischen Waldgesetzes errichtet werden, wenn von der Mitte des Mastfußes zum Waldrand mindestens ein Abstand in Höhe des Radius des Rotors eingehalten wird; Voraussetzung ist, dass der Wald bereits am 16. November 2022 bestanden hat.</w:t>
      </w:r>
    </w:p>
    <w:p>
      <w:r>
        <w:t xml:space="preserve">(6) Die Frist nach § 35 Abs. 4 Satz 1 Nr. 1 Buchst. c BauGB ist nicht anzuwenden.</w:t>
      </w:r>
    </w:p>
    <w:p>
      <w:r>
        <w:rPr>
          <w:color w:val="555555"/>
          <w:sz w:val="17"/>
        </w:rPr>
        <w:t xml:space="preserve">Zitiervorschlag: Art 82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