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81a BayBO (Bayern) — Technische Baubestimmungen</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vom Staatsministerium für Wohnen, Bau und Verkehr öffentlich bekanntgemachten Technischen Baubestimmungen sind zu beachten. Von den Technischen Baubestimmungen kann abgewichen werden, wenn mit einer anderen Lösung in gleichem Maße die allgemeinen Anforderungen des Art. 3 Satz 1 erfüllt werden und in der Technischen Baubestimmung eine Abweichung nicht ausgeschlossen ist; Art. 15 Abs. 2 und Art. 17 bleiben unberührt. Werden die allgemein anerkannten Regeln der Baukunst und Technik beachtet, gelten die entsprechenden bauaufsichtlichen Anforderungen dieses Gesetzes und der auf Grund dieses Gesetzes erlassenen Vorschriften als eingehalten.</w:t>
      </w:r>
    </w:p>
    <w:p>
      <w:r>
        <w:t xml:space="preserve">(2) Zur Sicherstellung der Anforderungen nach Art. 3 Satz 1, Art. 15 Abs. 1 und Art. 16 Abs. 2 Satz 1 können im Rahmen der Technischen Baubestimmungen im erforderlichen Umfang Regelungen getroffen werden in Bezug auf</w:t>
      </w:r>
    </w:p>
    <w:p>
      <w:r>
        <w:t xml:space="preserve">1. bestimmte bauliche Anlagen oder ihre Teile,</w:t>
      </w:r>
    </w:p>
    <w:p>
      <w:r>
        <w:t xml:space="preserve">2. die Planung, Bemessung und Ausführung baulicher Anlagen und ihrer Teile,</w:t>
      </w:r>
    </w:p>
    <w:p>
      <w:r>
        <w:t xml:space="preserve">3. die Leistung von Bauprodukten in bestimmten baulichen Anlagen oder ihren Teilen, insbesondere</w:t>
      </w:r>
    </w:p>
    <w:p>
      <w:r>
        <w:t xml:space="preserve">a) Planung, Bemessung und Ausführung baulicher Anlagen bei Einbau eines Bauprodukts,</w:t>
      </w:r>
    </w:p>
    <w:p>
      <w:r>
        <w:t xml:space="preserve">b) Merkmale von Bauprodukten, die sich für einen Verwendungszweck auf die Erfüllung der Anforderungen nach Art. 3 Satz 1 auswirken,</w:t>
      </w:r>
    </w:p>
    <w:p>
      <w:r>
        <w:t xml:space="preserve">c) Verfahren für die Feststellung der Leistung eines Bauproduktes im Hinblick auf Merkmale, die sich für einen Verwendungszweck auf die Erfüllung der Anforderungen nach Art. 3 Satz 1 auswirken,</w:t>
      </w:r>
    </w:p>
    <w:p>
      <w:r>
        <w:t xml:space="preserve">d) zulässige oder unzulässige besondere Verwendungszwecke,</w:t>
      </w:r>
    </w:p>
    <w:p>
      <w:r>
        <w:t xml:space="preserve">e) die Festlegung von Klassen und Stufen in Bezug auf bestimmte Verwendungszwecke,</w:t>
      </w:r>
    </w:p>
    <w:p>
      <w:r>
        <w:t xml:space="preserve">f) die für einen bestimmten Verwendungszweck anzugebende oder erforderliche und anzugebende Leistung in Bezug auf ein Merkmal, das sich für einen Verwendungszweck auf die Erfüllung der Anforderungen nach Art. 3 Satz 1 auswirkt, soweit vorgesehen in Klassen und Stufen,</w:t>
      </w:r>
    </w:p>
    <w:p>
      <w:r>
        <w:t xml:space="preserve">4. die Bauprodukte, die keines Verwendbarkeitsnachweises nach Art. 17 bedürfen,</w:t>
      </w:r>
    </w:p>
    <w:p>
      <w:r>
        <w:t xml:space="preserve">5. die Bauarten und die Bauprodukte, die nur eines allgemeinen bauaufsichtlichen Prüfzeugnisses nach allgemein anerkannten Prüfverfahren nach Art. 15 Abs. 3 oder Art. 19 bedürfen,</w:t>
      </w:r>
    </w:p>
    <w:p>
      <w:r>
        <w:t xml:space="preserve">6. Voraussetzungen zur Abgabe der Übereinstimmungserklärung für ein Bauprodukt nach Art. 21,</w:t>
      </w:r>
    </w:p>
    <w:p>
      <w:r>
        <w:t xml:space="preserve">7. die Art, den Inhalt und die Form technischer Dokumentation.</w:t>
      </w:r>
    </w:p>
    <w:p>
      <w:r>
        <w:rPr>
          <w:color w:val="555555"/>
          <w:sz w:val="17"/>
        </w:rPr>
        <w:t xml:space="preserve">Zitiervorschlag: Art 81a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https://recht.nulegal.eu/gesetze/BayBO/81a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