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BayBO (Bayern) — Örtliche Bauvorschriften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durch Satzung im eigenen Wirkungskreis örtliche Bauvorschriften erlassen</w:t>
      </w:r>
    </w:p>
    <w:p>
      <w:r>
        <w:t xml:space="preserve">1. über besondere Anforderungen an die äußere Gestaltung von baulichen Anlagen zur Erhaltung und Gestaltung des Ortsbildes, insbesondere zur Begrünung von Gebäuden,</w:t>
      </w:r>
    </w:p>
    <w:p>
      <w:r>
        <w:t xml:space="preserve">2. über das Verbot der Errichtung von Werbeanlagen aus ortsgestalterischen Gründen,</w:t>
      </w:r>
    </w:p>
    <w:p>
      <w:r>
        <w:t xml:space="preserve">3. über die Pflicht, bei der Errichtung von Gebäuden mit mehr als fünf Wohnungen einen Spielplatz angemessener Größe und Ausstattung zu errichten, auszustatten und zu unterhalten, sowie die Lage des Spielplatzes, die Art der Erfüllung einschließlich der Ablöse dieser Pflicht; soweit die Pflicht auch für Gebäude gilt, die dem Wohnen von Senioren und Studenten bestimmt sind, ist ein Recht des Bauherrn auf Ablöse dieser Pflicht vorzusehen, wobei der Ablösebetrag 5 000 € je abzulösenden Spielplatz nicht übersteigen darf; mit der Ablöse vereinnahmte Geldbeträge hat die Gemeinde für die Herstellung oder Unterhaltung örtlicher Kinder- oder Jugendfreizeiteinrichtungen zu verwenden,</w:t>
      </w:r>
    </w:p>
    <w:p>
      <w:r>
        <w:t xml:space="preserve">4. über</w:t>
      </w:r>
    </w:p>
    <w:p>
      <w:r>
        <w:t xml:space="preserve">a) die Pflicht, Stellplätze oder Fahrradabstellplätze bei der Errichtung von Anlagen herzustellen, bei denen ein Zu- oder Abfahrtsverkehr zu erwarten ist,</w:t>
      </w:r>
    </w:p>
    <w:p>
      <w:r>
        <w:t xml:space="preserve">b) die Pflicht, Stellplätze oder Fahrradabstellplätze bei der Änderung oder Nutzungsänderung von Anlagen herzustellen, wenn dadurch zusätzlicher Zu- oder Abfahrtsverkehr zu erwarten ist; ausgenommen sind, wenn sie zu Wohnzwecken erfolgen, Nutzungsänderungen, der Ausbau von Dachgeschossen, der Einbau weiterer Wohnungen in bestehende Wohngebäude und die Aufstockung von Wohngebäuden,</w:t>
      </w:r>
    </w:p>
    <w:p>
      <w:r>
        <w:t xml:space="preserve">c) eine im Sinne von Art. 47 Abs. 2 Satz 2 geringere Zahl von Stellplätzen sowie die Erfüllung der Stellplatzpflicht durch Herstellung der Stellplätze auf einem geeigneten Grundstück in der Nähe des Baugrundstücks oder die Übernahme der Kosten für die Herstellung der Stellplätze durch den Bauherrn gegenüber der Gemeinde (Ablösevertrag); im Fall der Stellplatzablöse hat die Gemeinde den Geldbetrag zu verwenden für die Herstellung zusätzlicher oder die Instandhaltung, die Instandsetzung oder die Modernisierung bestehender Parkeinrichtungen einschließlich der Ausstattung mit Elektroladestationen, für den Bau und die Einrichtung von innerörtlichen Radverkehrsanlagen, für die Schaffung von öffentlichen Fahrradabstellplätzen und gemeindlichen Mietfahrradanlagen einschließlich der Ausstattung mit Elektroladestationen oder für sonstige Maßnahmen zur Entlastung der Straßen vom ruhenden Verkehr einschließlich investiver Maßnahmen des öffentlichen Personennahverkehrs,</w:t>
      </w:r>
    </w:p>
    <w:p>
      <w:r>
        <w:t xml:space="preserve">5. über das Verbot von Bodenversiegelung, nicht begrünten Steingärten sowie ähnlich eintönigen Flächennutzungen mit hoher thermischer oder hydrologischer Last oder erheblich unterdurchschnittlichem ökologischem oder wohnklimatischem Wert,</w:t>
      </w:r>
    </w:p>
    <w:p>
      <w:r>
        <w:t xml:space="preserve">6. über von Art. 6 abweichende Maße der Abstandsflächentiefe,</w:t>
      </w:r>
    </w:p>
    <w:p>
      <w:r>
        <w:t xml:space="preserve">a) eine Erhöhung auf bis zu 1,0 H, mindestens 3 m, insbesondere, wenn dies die Erhaltung des Ortsbildes im Gemeindegebiet oder in Teilen des Gemeindegebiets bezweckt oder der Verbesserung oder Erhaltung der Wohnqualität dient,</w:t>
      </w:r>
    </w:p>
    <w:p>
      <w:r>
        <w:t xml:space="preserve">b) eine Verkürzung auf bis zu 0,4 H, mindestens 3 m, in Gemeinden mit mehr als 250 000 Einwohnern, wenn eine ausreichende Belichtung und Belüftung sowie der Brandschutz gewährleistet sind.</w:t>
      </w:r>
    </w:p>
    <w:p>
      <w:r>
        <w:t xml:space="preserve">(2) Örtliche Bauvorschriften können auch durch Bebauungsplan oder, soweit das Baugesetzbuch dies vorsieht, durch andere Satzungen nach den Vorschriften des Baugesetzbuchs erlassen werden. In diesen Fällen sind, soweit das Baugesetzbuch kein abweichendes Verfahren regelt, die Vorschriften des Ersten und des Dritten Abschnitts des Ersten Teils, des Ersten Abschnitts des Zweiten Teils des Ersten Kapitels, die §§ 13, 13a, 13b, 30, 31, 33, 36, 214 und 215 BauGB entsprechend anzuwenden.</w:t>
      </w:r>
    </w:p>
    <w:p>
      <w:r>
        <w:t xml:space="preserve">(3) Anforderungen nach den Abs. 1 und 2 können in der Satzung auch zeichnerisch gestellt werden. Die zeichnerischen Darstellungen können auch dadurch bekannt gemacht werden, dass sie bei der erlassenden Behörde zur Einsicht ausgelegt werden. Hierauf ist in der Satzung hinzuweisen.</w:t>
      </w:r>
    </w:p>
    <w:p>
      <w:r>
        <w:t xml:space="preserve">(4) Satzungen nach den Abs. 1 bis 3 finden keine Anwendung auf bauliche Anlagen öffentlicher Stellen auf Militärgelände.</w:t>
      </w:r>
    </w:p>
    <w:p>
      <w:r>
        <w:t xml:space="preserve">(5) Örtliche Bauvorschriften nach Abs. 1 Nr. 2 bis 6 stehen einem Bauvorhaben nach Art. 57 Abs. 1 Nr. 18 nicht entgegen.</w:t>
      </w:r>
    </w:p>
    <w:p>
      <w:r>
        <w:rPr>
          <w:color w:val="555555"/>
          <w:sz w:val="17"/>
        </w:rPr>
        <w:t xml:space="preserve">Zitiervorschlag: Art 81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https://recht.nulegal.eu/gesetze/BayBO/81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