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BayBO (Bayern) — Rechtsverordnungen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Verwirklichung der in Art. 3 Satz 1, Art. 15 Abs. 1 und Art. 16 Abs. 2 Satz 1 bezeichneten Anforderungen wird das Staatsministerium für Wohnen, Bau und Verkehr ermächtigt, durch Rechtsverordnung Vorschriften zu erlassen über</w:t>
      </w:r>
    </w:p>
    <w:p>
      <w:r>
        <w:t xml:space="preserve">1. die nähere Bestimmung allgemeiner Anforderungen der Art. 4 bis 46,</w:t>
      </w:r>
    </w:p>
    <w:p>
      <w:r>
        <w:t xml:space="preserve">2. Anforderungen an Feuerungsanlagen (Art. 40),</w:t>
      </w:r>
    </w:p>
    <w:p>
      <w:r>
        <w:t xml:space="preserve">3. Anforderungen an Garagen (Art. 2 Abs. 8),</w:t>
      </w:r>
    </w:p>
    <w:p>
      <w:r>
        <w:t xml:space="preserve">4. besondere Anforderungen oder Erleichterungen, die sich aus der besonderen Art oder Nutzung der baulichen Anlagen für Errichtung, Änderung, Unterhaltung, Betrieb und Nutzung ergeben (Art. 2 Abs. 4), sowie über die Anwendung solcher Anforderungen auf bestehende bauliche Anlagen dieser Art,</w:t>
      </w:r>
    </w:p>
    <w:p>
      <w:r>
        <w:t xml:space="preserve">5. Erst-, Wiederholungs- und Nachprüfung von Anlagen, die zur Verhütung erheblicher Gefahren oder Nachteile ständig ordnungsgemäß unterhalten werden müssen, und die Erstreckung dieser Nachprüfungspflicht auf bestehende Anlagen,</w:t>
      </w:r>
    </w:p>
    <w:p>
      <w:r>
        <w:t xml:space="preserve">6. die Anwesenheit fachkundiger Personen beim Betrieb technisch schwieriger baulicher Anlagen und Einrichtungen wie Bühnenbetriebe und technisch schwierige fliegende Bauten einschließlich des Nachweises der Befähigung dieser Personen.</w:t>
      </w:r>
    </w:p>
    <w:p>
      <w:r>
        <w:t xml:space="preserve">In diesen Rechtsverordnungen kann wegen der technischen Anforderungen auf Bekanntmachungen besonders sachverständiger Stellen mit Angabe der Fundstelle verwiesen werden.</w:t>
      </w:r>
    </w:p>
    <w:p>
      <w:r>
        <w:t xml:space="preserve">(2) Das Staatsministerium für Wohnen, Bau und Verkehr wird ermächtigt, durch Rechtsverordnung Vorschriften zu erlassen über</w:t>
      </w:r>
    </w:p>
    <w:p>
      <w:r>
        <w:t xml:space="preserve">1. Prüfingenieure und Prüfämter, denen bauaufsichtliche Prüfaufgaben einschließlich der Bauüberwachung und der Bauzustandsbesichtigung übertragen werden, sowie</w:t>
      </w:r>
    </w:p>
    <w:p>
      <w:r>
        <w:t xml:space="preserve">2. Prüfsachverständige, die im Auftrag des Bauherrn oder des sonstigen nach Bauordnungsrecht Verantwortlichen die Einhaltung bauordnungsrechtlicher Anforderungen prüfen und bescheinigen.</w:t>
      </w:r>
    </w:p>
    <w:p>
      <w:r>
        <w:t xml:space="preserve">Die Rechtsverordnungen nach Satz 1 regeln, soweit erforderlich,</w:t>
      </w:r>
    </w:p>
    <w:p>
      <w:r>
        <w:t xml:space="preserve">1. die Fachbereiche und die Fachrichtungen, in denen Prüfingenieure, Prüfämter und Prüfsachverständige tätig werden,</w:t>
      </w:r>
    </w:p>
    <w:p>
      <w:r>
        <w:t xml:space="preserve">2. die Anerkennungsvoraussetzungen und das Anerkennungsverfahren,</w:t>
      </w:r>
    </w:p>
    <w:p>
      <w:r>
        <w:t xml:space="preserve">3. Erlöschen, Rücknahme und Widerruf der Anerkennung einschließlich der Festlegung einer Altersgrenze,</w:t>
      </w:r>
    </w:p>
    <w:p>
      <w:r>
        <w:t xml:space="preserve">4. die Aufgabenerledigung,</w:t>
      </w:r>
    </w:p>
    <w:p>
      <w:r>
        <w:t xml:space="preserve">5. die Vergütung.</w:t>
      </w:r>
    </w:p>
    <w:p>
      <w:r>
        <w:t xml:space="preserve">Das Staatsministerium für Wohnen, Bau und Verkehr kann durch Rechtsverordnung ferner</w:t>
      </w:r>
    </w:p>
    <w:p>
      <w:r>
        <w:t xml:space="preserve">1. den Leitern und stellvertretenden Leitern von Prüfämtern die Stellung eines Prüfsachverständigen nach Satz 1 Nr. 2 zuweisen,</w:t>
      </w:r>
    </w:p>
    <w:p>
      <w:r>
        <w:t xml:space="preserve">2. soweit für bestimmte Fachbereiche und Fachrichtungen Prüfsachverständige nach Satz 1 Nr. 2 noch nicht in ausreichendem Umfang anerkannt sind, anordnen, dass die von solchen Prüfsachverständigen zu prüfenden und zu bescheinigenden bauordnungsrechtlichen Anforderungen bauaufsichtlich geprüft werden können,</w:t>
      </w:r>
    </w:p>
    <w:p>
      <w:r>
        <w:t xml:space="preserve">3. soweit Tragwerksplaner oder Brandschutzplaner nach Art. 62 Abs. 3 noch nicht in ausreichendem Umfang eingetragen sind, anordnen, dass die Standsicherheits- oder Brandschutznachweise bauaufsichtlich geprüft werden und die Bauausführung bauaufsichtlich überwacht wird.</w:t>
      </w:r>
    </w:p>
    <w:p>
      <w:r>
        <w:t xml:space="preserve">(3) Das Staatsministerium für Wohnen, Bau und Verkehr wird ermächtigt, durch Rechtsverordnung Vorschriften für eine Zusatzqualifikation im Sinn des Art. 62a Abs. 1 zu erlassen, die bezogen auf die Bauvorhaben nach Art. 61 Abs. 3 Satz 1 ausreichende Kenntnisse und Fertigkeiten hinsichtlich Standsicherheit, Schall-, Wärme- und baulichen Brandschutz sicherstellen. Dabei können insbesondere geregelt werden</w:t>
      </w:r>
    </w:p>
    <w:p>
      <w:r>
        <w:t xml:space="preserve">1. die Notwendigkeit einer staatlichen Anerkennung, die die erfolgreiche Ablegung der Prüfung voraussetzt,</w:t>
      </w:r>
    </w:p>
    <w:p>
      <w:r>
        <w:t xml:space="preserve">2. die Voraussetzungen, die Inhalte und das Verfahren für diese Prüfung,</w:t>
      </w:r>
    </w:p>
    <w:p>
      <w:r>
        <w:t xml:space="preserve">3. das Verfahren sowie die Voraussetzungen der Anerkennung, ihren Widerruf, ihre Rücknahme und ihr Erlöschen,</w:t>
      </w:r>
    </w:p>
    <w:p>
      <w:r>
        <w:t xml:space="preserve">4. Weiter- und Fortbildungserfordernisse sowie</w:t>
      </w:r>
    </w:p>
    <w:p>
      <w:r>
        <w:t xml:space="preserve">5. die Maßnahmen bei Pflichtverletzungen.</w:t>
      </w:r>
    </w:p>
    <w:p>
      <w:r>
        <w:t xml:space="preserve">(4) Das Staatsministerium für Wohnen, Bau und Verkehr wird ermächtigt, durch Rechtsverordnung Vorschriften zu erlassen über</w:t>
      </w:r>
    </w:p>
    <w:p>
      <w:r>
        <w:t xml:space="preserve">1. Umfang, Inhalt und Zahl der erforderlichen Unterlagen einschließlich der Vorlagen bei der Anzeige der beabsichtigten Beseitigung von Anlagen nach Art. 57 Abs. 5 Satz 2 und bei der Genehmigungsfreistellung nach Art. 58,</w:t>
      </w:r>
    </w:p>
    <w:p>
      <w:r>
        <w:t xml:space="preserve">2. die erforderlichen Anträge, Anzeigen, Nachweise, Bescheinigungen und Bestätigungen, auch bei verfahrensfreien Bauvorhaben,</w:t>
      </w:r>
    </w:p>
    <w:p>
      <w:r>
        <w:t xml:space="preserve">3. das Verfahren im Einzelnen.</w:t>
      </w:r>
    </w:p>
    <w:p>
      <w:r>
        <w:t xml:space="preserve">Es kann dabei für verschiedene Arten von Bauvorhaben unterschiedliche Anforderungen und Verfahren festlegen.</w:t>
      </w:r>
    </w:p>
    <w:p>
      <w:r>
        <w:t xml:space="preserve">(5) Das Staatsministerium für Wohnen, Bau und Verkehr wird ermächtigt, durch Rechtsverordnung</w:t>
      </w:r>
    </w:p>
    <w:p>
      <w:r>
        <w:t xml:space="preserve">1. die Zuständigkeit für die vorhabenbezogene Bauartgenehmigung nach Art. 15 Abs. 2 Satz 1 Nr. 2 und den Verzicht darauf nach Art. 15 Abs. 4 sowie die Zustimmung im Einzelfall nach Art. 20 auf ihm unmittelbar nachgeordnete Behörden zu übertragen,</w:t>
      </w:r>
    </w:p>
    <w:p>
      <w:r>
        <w:t xml:space="preserve">2. die Zuständigkeit für die Anerkennung von Prüf-, Zertifizierungs- und Überwachungsstellen nach Art. 23 Abs. 3 auf das Deutsche Institut für Bautechnik zu übertragen,</w:t>
      </w:r>
    </w:p>
    <w:p>
      <w:r>
        <w:t xml:space="preserve">3. das Ü-Zeichen festzulegen und zu diesem Zeichen zusätzliche Angaben zu verlangen,</w:t>
      </w:r>
    </w:p>
    <w:p>
      <w:r>
        <w:t xml:space="preserve">4. das Anerkennungsverfahren nach Art. 23 Abs. 3, die Voraussetzungen für die Anerkennung, ihre Rücknahme, ihren Widerruf und ihr Erlöschen zu regeln, insbesondere auch Altersgrenzen festzulegen, sowie eine ausreichende Haftpflichtversicherung zu fordern,</w:t>
      </w:r>
    </w:p>
    <w:p>
      <w:r>
        <w:t xml:space="preserve">5. die Anwendbarkeit der Art. 15 Abs. 2, Art. 17 bis 23 für bestimmte Bauprodukte und Bauarten, auch soweit sie Anforderungen nach anderen Rechtsvorschriften unterliegen, hinsichtlich dieser Anforderungen ganz oder teilweise vorzuschreiben, wenn die anderen Rechtsvorschriften dies verlangen oder zulassen,</w:t>
      </w:r>
    </w:p>
    <w:p>
      <w:r>
        <w:t xml:space="preserve">6. besondere Sachkunde- und Sorgfaltsanforderungen nach Art. 22 und 15 Abs. 6 in Verbindung mit Art. 22, insbesondere auch Mindestanforderungen an die Ausbildung, die durch Prüfung nachzuweisende Befähigung und die Ausbildungsstätten einschließlich der Anerkennungsvoraussetzungen zu stellen,</w:t>
      </w:r>
    </w:p>
    <w:p>
      <w:r>
        <w:t xml:space="preserve">7. zu bestimmen, dass Ausführungsgenehmigungen für fliegende Bauten nur durch bestimmte Bauaufsichtsbehörden oder durch von ihm bestimmte Stellen erteilt werden, und die Vergütung dieser Stellen zu regeln.</w:t>
      </w:r>
    </w:p>
    <w:p>
      <w:r>
        <w:t xml:space="preserve">(6) Das Staatsministerium für Wohnen, Bau und Verkehr wird ermächtigt, durch Rechtsverordnung zu bestimmen, dass die Anforderungen der auf Grund des § 34 des Produktsicherheitsgesetzes (ProdSG) und des § 49 Abs. 4 des Energiewirtschaftsgesetzes erlassenen Rechtsverordnungen entsprechend für Anlagen gelten, die weder gewerblichen noch wirtschaftlichen Zwecken dienen und in deren Gefahrenbereich auch keine Arbeitnehmer beschäftigt werden. Es kann auch die Verfahrensvorschriften dieser Rechtsverordnungen für anwendbar erklären oder selbst das Verfahren bestimmen sowie Zuständigkeiten und Gebühren regeln. Dabei kann es auch vorschreiben, dass danach zu erteilende Erlaubnisse die Baugenehmigung einschließlich der zugehörigen Abweichungen einschließen und dass § 35 Abs. 2 ProdSG insoweit Anwendung findet.</w:t>
      </w:r>
    </w:p>
    <w:p>
      <w:r>
        <w:t xml:space="preserve">(7) Das Staatsministerium für Wohnen, Bau und Verkehr wird ermächtigt, durch Rechtsverordnung die zuständigen Behörden zur Durchführung</w:t>
      </w:r>
    </w:p>
    <w:p>
      <w:r>
        <w:t xml:space="preserve">1. des Baugesetzbuchs,</w:t>
      </w:r>
    </w:p>
    <w:p>
      <w:r>
        <w:t xml:space="preserve">2. des § 6b Abs. 9 des Einkommensteuergesetzes,</w:t>
      </w:r>
    </w:p>
    <w:p>
      <w:r>
        <w:t xml:space="preserve">3. der Verordnung (EU) Nr. 305/2011, der Verordnung (EU) 2019/1020 und des Bauproduktengesetzes</w:t>
      </w:r>
    </w:p>
    <w:p>
      <w:r>
        <w:t xml:space="preserve">in den jeweils geltenden Fassungen zu bestimmen, soweit nicht durch Bundesgesetz oder Landesgesetz etwas anderes vorgeschrieben ist. Die Zuständigkeiten nach Satz 1 Nr. 3 können auch auf das Deutsche Institut für Bautechnik übertragen werden.</w:t>
      </w:r>
    </w:p>
    <w:p>
      <w:r>
        <w:rPr>
          <w:color w:val="555555"/>
          <w:sz w:val="17"/>
        </w:rPr>
        <w:t xml:space="preserve">Zitiervorschlag: Art 80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