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73a BayBO (Bayern) — Typengenehmigung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bauliche Anlagen, die mehrfach in derselben Ausführung errichtet werden sollen, erteilt die oberste Bauaufsichtsbehörde eine allgemeine bautechnische Genehmigung (Typengenehmigung), wenn diese den Anforderungen dieses Gesetzes entsprechen. Für bauliche Anlagen, die in unterschiedlicher Ausführung, aber nach einem bestimmten System aus Bauteilen errichtet werden sollen, gilt Satz 1 mit der Maßgabe entsprechend, dass die Zulässigkeit der Veränderbarkeit festgelegt wird.</w:t>
      </w:r>
    </w:p>
    <w:p>
      <w:r>
        <w:t xml:space="preserve">(2) Regelt die Typengenehmigung Anforderungen an die Standsicherheit, den Brand-, Schall- und Erschütterungsschutz und stellt sie fest, welche dieser Anforderungen eingehalten sind, gilt sie insoweit als bautechnischer Nachweis im Sinn von Art. 62 bis 62b. Art. 81a Abs. 1 Satz 2 gilt mit der Maßgabe entsprechend, dass Art. 15 Abs. 2 und Art. 17 keine Anwendung finden. Art. 63 gilt entsprechend.</w:t>
      </w:r>
    </w:p>
    <w:p>
      <w:r>
        <w:t xml:space="preserve">(3) Der Antrag ist schriftlich bei der obersten Bauaufsichtsbehörde einzureichen. Die Typengenehmigung bedarf der Schriftform.</w:t>
      </w:r>
    </w:p>
    <w:p>
      <w:r>
        <w:t xml:space="preserve">(4) Vergleichbare Typengenehmigungen anderer Länder gelten auch im Freistaat Bayern.</w:t>
      </w:r>
    </w:p>
    <w:p>
      <w:r>
        <w:t xml:space="preserve">(5) Eine Typengenehmigung entbindet nicht von der Verfahrenspflicht nach Art. 58 bis 60.</w:t>
      </w:r>
    </w:p>
    <w:p>
      <w:r>
        <w:t xml:space="preserve">(6) Für typengenehmigte Gebäude finden Satzungen nach Art. 81 Abs. 1 Nr. 1 keine Anwendung.</w:t>
      </w:r>
    </w:p>
    <w:p>
      <w:r>
        <w:rPr>
          <w:color w:val="555555"/>
          <w:sz w:val="17"/>
        </w:rPr>
        <w:t xml:space="preserve">Zitiervorschlag: Art 73a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