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BayBO (Bayern) — Geltungsdauer der Baugenehmigung und der Teilbaugenehmigung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in ihnen keine anderen Fristen bestimmt, erlöschen die Baugenehmigung und die Teilbaugenehmigung, wenn innerhalb von vier Jahren nach ihrer Erteilung mit der Ausführung des Bauvorhabens nicht begonnen oder die Bauausführung vier Jahre unterbrochen worden ist; die Einlegung eines Rechtsbehelfs hemmt den Lauf der Frist bis zur Unanfechtbarkeit der Genehmigung.</w:t>
      </w:r>
    </w:p>
    <w:p>
      <w:r>
        <w:t xml:space="preserve">(2) Die Frist nach Abs. 1 kann auf schriftlichen Antrag jeweils bis zu vier Jahre verlängert werden. Sie kann auch rückwirkend verlängert werden, wenn der Antrag vor Fristablauf bei der Bauaufsichtsbehörde eingegangen ist.</w:t>
      </w:r>
    </w:p>
    <w:p>
      <w:r>
        <w:rPr>
          <w:color w:val="555555"/>
          <w:sz w:val="17"/>
        </w:rPr>
        <w:t xml:space="preserve">Zitiervorschlag: Art 69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