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BayBO (Bayern) — Baugenehmigung, Genehmigungsfiktion und Baubeginn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Baugenehmigung ist zu erteilen, wenn dem Bauvorhaben keine öffentlich-rechtlichen Vorschriften entgegenstehen, die im bauaufsichtlichen Genehmigungsverfahren zu prüfen sind; die Bauaufsichtsbehörde darf den Bauantrag auch ablehnen, wenn das Bauvorhaben gegen sonstige öffentlich-rechtliche Vorschriften verstößt. Die durch eine Umweltverträglichkeitsprüfung ermittelten, beschriebenen und bewerteten Umweltauswirkungen sind nach Maßgabe der hierfür geltenden Vorschriften zu berücksichtigen.</w:t>
      </w:r>
    </w:p>
    <w:p>
      <w:r>
        <w:t xml:space="preserve">(2) Betrifft ein Bauantrag die Errichtung oder Änderung eines Gebäudes, das ausschließlich oder überwiegend dem Wohnen dient, oder eine Nutzungsänderung, durch die Wohnraum geschaffen werden soll, und ist über diesen Bauantrag im vereinfachten Genehmigungsverfahren nach Art. 59 zu entscheiden, gilt Art. 42a BayVwVfG mit folgenden Maßgaben entsprechend:</w:t>
      </w:r>
    </w:p>
    <w:p>
      <w:r>
        <w:t xml:space="preserve">1. Die Frist für die Entscheidung beginnt</w:t>
      </w:r>
    </w:p>
    <w:p>
      <w:r>
        <w:t xml:space="preserve">a) drei Wochen nach Zugang des Bauantrags oder</w:t>
      </w:r>
    </w:p>
    <w:p>
      <w:r>
        <w:t xml:space="preserve">b) drei Wochen nach Zugang der verlangten Unterlagen, wenn die Bauaufsichtsbehörde vor Fristbeginn eine Aufforderung nach Art. 65 Abs. 1 Satz 2 versandt hat.</w:t>
      </w:r>
    </w:p>
    <w:p>
      <w:r>
        <w:t xml:space="preserve">2. Die Bescheinigung nach Art. 42a Abs. 3 BayVwVfG ist unverlangt und unverzüglich auszustellen; sie hat den Inhalt der Genehmigung wiederzugeben, eine Rechtsbehelfsbelehrung nach § 58 VwGO zu enthalten und ist dem Antragsteller, der Gemeinde sowie jedem Nachbarn zuzustellen, der dem Bauantrag nicht zugestimmt hat.</w:t>
      </w:r>
    </w:p>
    <w:p>
      <w:r>
        <w:t xml:space="preserve">Betrifft ein Bauantrag die Errichtung oder Änderung einer Mobilfunkanlage, gilt Satz 1 entsprechend. Die Sätze 1 und 2 finden keine Anwendung, wenn der Antragsteller vor Ablauf der Entscheidungsfrist gegenüber der Bauaufsichtsbehörde in Textform auf den Eintritt der Genehmigungsfiktion verzichtet hat. In den Fällen der Sätze 1 und 2 finden die Abs. 3 und 4 keine Anwendung.</w:t>
      </w:r>
    </w:p>
    <w:p>
      <w:r>
        <w:t xml:space="preserve">(3) Die Baugenehmigung bedarf der Schriftform. Sie ist nur insoweit zu begründen, als ohne Zustimmung des Nachbarn von nachbarschützenden Vorschriften abgewichen wird oder der Nachbar gegen das Bauvorhaben in Textform Einwendungen erhoben hat; Art. 39 Abs. 2 Nr. 2 BayVwVfG und Art. 66a Abs. 2 Satz 3 bleiben unberührt. Sie ist mit einer Ausfertigung der mit einem Genehmigungsvermerk zu versehenden Bauvorlagen dem Antragsteller zuzustellen. Die Gemeinde erhält die Baugenehmigung und die Bauvorlagen; hat sie dem Bauvorhaben nicht zugestimmt, ist die Baugenehmigung zuzustellen.</w:t>
      </w:r>
    </w:p>
    <w:p>
      <w:r>
        <w:t xml:space="preserve">(4) Wird die Baugenehmigung unter Auflagen oder Bedingungen erteilt, kann eine Sicherheitsleistung verlangt werden.</w:t>
      </w:r>
    </w:p>
    <w:p>
      <w:r>
        <w:t xml:space="preserve">(5) Die Baugenehmigung wird unbeschadet der privaten Rechte Dritter erteilt.</w:t>
      </w:r>
    </w:p>
    <w:p>
      <w:r>
        <w:t xml:space="preserve">(6) Mit der Bauausführung oder mit der Ausführung des jeweiligen Bauabschnitts darf erst begonnen werden, wenn</w:t>
      </w:r>
    </w:p>
    <w:p>
      <w:r>
        <w:t xml:space="preserve">1. die Baugenehmigung oder eine Bescheinigung gemäß Art. 42a Abs. 3 BayVwVfG dem Bauherrn zugegangen ist sowie</w:t>
      </w:r>
    </w:p>
    <w:p>
      <w:r>
        <w:t xml:space="preserve">2. die Bescheinigungen nach Art. 62a Abs. 2 und Art. 62b Abs. 2 und</w:t>
      </w:r>
    </w:p>
    <w:p>
      <w:r>
        <w:t xml:space="preserve">3. die Baubeginnsanzeige</w:t>
      </w:r>
    </w:p>
    <w:p>
      <w:r>
        <w:t xml:space="preserve">der Bauaufsichtsbehörde vorliegen.</w:t>
      </w:r>
    </w:p>
    <w:p>
      <w:r>
        <w:t xml:space="preserve">(7) Vor Baubeginn müssen die Grundfläche der baulichen Anlage abgesteckt und ihre Höhenlage festgelegt sein. Die Bauaufsichtsbehörde kann verlangen, dass Absteckung und Höhenlage von ihr abgenommen oder die Einhaltung der festgelegten Grundfläche und Höhenlage nachgewiesen wird. Baugenehmigungen, Bauvorlagen, bautechnische Nachweise, soweit es sich nicht um Bauvorlagen handelt, sowie Bescheinigungen von Prüfsachverständigen müssen an der Baustelle von Baubeginn an vorliegen.</w:t>
      </w:r>
    </w:p>
    <w:p>
      <w:r>
        <w:t xml:space="preserve">(8) Der Bauherr hat den Ausführungsbeginn genehmigungspflichtiger Bauvorhaben und die Wiederaufnahme der Bauarbeiten nach einer Unterbrechung von mehr als sechs Monaten mindestens eine Woche vorher der Bauaufsichtsbehörde schriftlich mitzuteilen (Baubeginnsanzeige).</w:t>
      </w:r>
    </w:p>
    <w:p>
      <w:r>
        <w:rPr>
          <w:color w:val="555555"/>
          <w:sz w:val="17"/>
        </w:rPr>
        <w:t xml:space="preserve">Zitiervorschlag: Art 68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