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67 BayBO (Bayern) — Ersetzung des gemeindlichen Einvernehmens</w:t>
      </w:r>
    </w:p>
    <w:p>
      <w:r>
        <w:rPr>
          <w:color w:val="555555"/>
          <w:sz w:val="18"/>
        </w:rPr>
        <w:t xml:space="preserve">Bayerische Bauordnung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Hat eine Gemeinde ihr nach § 14 Abs. 2 Satz 2, § 22 Abs. 5 Satz 1, § 145 Abs. 1 Satz 2, § 173 Abs. 1 Satz 2 Halbsatz 1 BauGB oder nach Art. 63 Abs. 3 Satz 2 Halbsatz 1 erforderliches Einvernehmen rechtswidrig versagt und besteht ein Rechtsanspruch auf Erteilung der Genehmigung, kann das fehlende Einvernehmen nach Maßgabe der Abs. 2 bis 4 ersetzt werden; in den Fällen des § 36 Abs. 1 Satz 1 und 2 BauGB ist das fehlende Einvernehmen nach Maßgabe von Abs. 2 bis 4 zu ersetzen. Außer in den Fällen des § 36 Abs. 2 Satz 3 BauGB besteht kein Rechtsanspruch auf Ersetzung des gemeindlichen Einvernehmens.</w:t>
      </w:r>
    </w:p>
    <w:p>
      <w:r>
        <w:t xml:space="preserve">(2) Art. 112 der Gemeindeordnung (GO) findet keine Anwendung.</w:t>
      </w:r>
    </w:p>
    <w:p>
      <w:r>
        <w:t xml:space="preserve">(3) Die Genehmigung gilt zugleich als Ersatzvornahme im Sinn des Art. 113 GO; sie ist insoweit zu begründen. Entfällt die aufschiebende Wirkung der Anfechtungsklage gegen die Genehmigung nach § 80 Abs. 2 Satz 1 Nr. 3 oder Nr. 4 der Verwaltungsgerichtsordnung (VwGO), hat die Anfechtungsklage auch insoweit keine aufschiebende Wirkung, als die Genehmigung als Ersatzvornahme gilt.</w:t>
      </w:r>
    </w:p>
    <w:p>
      <w:r>
        <w:t xml:space="preserve">(4) Die Gemeinde ist vor Erlass der Genehmigung anzuhören. Dabei ist ihr Gelegenheit zu geben, binnen angemessener Frist erneut über das gemeindliche Einvernehmen zu entscheiden.</w:t>
      </w:r>
    </w:p>
    <w:p>
      <w:r>
        <w:rPr>
          <w:color w:val="555555"/>
          <w:sz w:val="17"/>
        </w:rPr>
        <w:t xml:space="preserve">Zitiervorschlag: Art 67 BayBO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https://recht.nulegal.eu/gesetze/BayBO/67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