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66a BayBO (Bayern) — Beteiligung der Öffentlichkeit</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baulichen Anlagen, die auf Grund ihrer Beschaffenheit oder ihres Betriebs geeignet sind, die Allgemeinheit oder die Nachbarschaft zu gefährden, zu benachteiligen oder zu belästigen, kann die Bauaufsichtsbehörde auf Antrag des Bauherrn das Bauvorhaben öffentlich bekannt machen; verfährt die Bauaufsichtsbehörde nach Halbsatz 1, findet Art. 66 Abs. 1 und 3 keine Anwendung. Nach der Bekanntmachung sind der Antrag und die Bauvorlagen sowie die entscheidungserheblichen Berichte und Empfehlungen, die der Bauaufsichtsbehörde im Zeitpunkt der Bekanntmachung vorliegen, einen Monat zur Einsicht auszulegen. Bauvorlagen, die Geschäfts- oder Betriebsgeheimnisse enthalten, sind nicht auszulegen, für sie gilt § 10 Abs. 2 des Bundes-Immissionsschutzgesetzes (BImSchG) entsprechend. Mit Ablauf einer Frist von zwei Wochen nach Ablauf der Auslegungsfrist sind alle öffentlich-rechtlichen Einwendungen gegen das Bauvorhaben ausgeschlossen, dies gilt für umweltbezogene Einwendungen nur für das Genehmigungsverfahren. Die Zustellung der Baugenehmigung nach Art. 66 Abs. 1 Satz 4 kann durch öffentliche Bekanntmachung ersetzt werden; Satz 1 und Art. 66 Abs. 2 Satz 6 gelten entsprechend. In der Bekanntmachung nach Satz 1 ist darauf hinzuweisen,</w:t>
      </w:r>
    </w:p>
    <w:p>
      <w:r>
        <w:t xml:space="preserve">1. wo und wann Beteiligte nach Art. 29 BayVwVfG die Akten des Verfahrens einsehen können,</w:t>
      </w:r>
    </w:p>
    <w:p>
      <w:r>
        <w:t xml:space="preserve">2. wo und wann Beteiligte Einwendungen gegen das Bauvorhaben vorbringen können,</w:t>
      </w:r>
    </w:p>
    <w:p>
      <w:r>
        <w:t xml:space="preserve">3. welche Rechtsfolgen mit Ablauf der Frist des Satzes 2 eintreten und</w:t>
      </w:r>
    </w:p>
    <w:p>
      <w:r>
        <w:t xml:space="preserve">4. dass die Zustellung der Baugenehmigung durch öffentliche Bekanntmachung ersetzt werden kann.</w:t>
      </w:r>
    </w:p>
    <w:p>
      <w:r>
        <w:t xml:space="preserve">Weitere Informationen, die für die Entscheidung über die Genehmigung von Bedeutung sein können und die der zuständigen Behörde erst nach Beginn der Auslegung vorliegen, sind der Öffentlichkeit nach den Bestimmungen des Bayerischen Umweltinformationsgesetzes (BayUIG) zugänglich zu machen.</w:t>
      </w:r>
    </w:p>
    <w:p>
      <w:r>
        <w:t xml:space="preserve">(2) Bei der Errichtung, Änderung oder Nutzungsänderung</w:t>
      </w:r>
    </w:p>
    <w:p>
      <w:r>
        <w:t xml:space="preserve">1. von Vorhaben nach Art. 58 Abs. 1 Nr. 4 sowie</w:t>
      </w:r>
    </w:p>
    <w:p>
      <w:r>
        <w:t xml:space="preserve">2. baulicher Anlagen, die nach Durchführung des Bauvorhabens Sonderbauten nach Art. 2 Abs. 4 Nr. 9 bis 13, 15 und 16 sind,</w:t>
      </w:r>
    </w:p>
    <w:p>
      <w:r>
        <w:t xml:space="preserve">ist eine Öffentlichkeitsbeteiligung nach Abs. 1 durchzuführen, wenn sie den angemessenen Sicherheitsabstand im Sinn des Art. 13 Abs. 2 Buchst. a der Richtlinie 2012/18/EU zu einem Betriebsbereich nicht einhalten. In die öffentliche Bekanntmachung nach Abs. 1 Satz 4 sind zusätzlich folgende Angaben aufzunehmen:</w:t>
      </w:r>
    </w:p>
    <w:p>
      <w:r>
        <w:t xml:space="preserve">1. ob für das Vorhaben eine Umweltverträglichkeitsprüfung durchzuführen ist (§§ 3a, 8 und 9 des Gesetzes über die Umweltverträglichkeitsprüfung),</w:t>
      </w:r>
    </w:p>
    <w:p>
      <w:r>
        <w:t xml:space="preserve">2. wo und wann die betroffene Öffentlichkeit im Sinn des Art. 3 Nr. 18 der Richtlinie 2012/18/EU Einwendungen gegen das Bauvorhaben vorbringen kann und</w:t>
      </w:r>
    </w:p>
    <w:p>
      <w:r>
        <w:t xml:space="preserve">3. die grundsätzlichen Entscheidungsmöglichkeiten der Behörde oder, soweit vorhanden, der Entscheidungsentwurf.</w:t>
      </w:r>
    </w:p>
    <w:p>
      <w:r>
        <w:t xml:space="preserve">Die Baugenehmigung ist nach Art. 41 Abs. 4 BayVwVfG öffentlich bekannt zu geben und, soweit Einwendungen vorgebracht wurden, zu begründen. In der Begründung sind die wesentlichen tatsächlichen und rechtlichen Gründe, die Behandlung der Einwendungen sowie Angaben über das Verfahren zur Beteiligung der Öffentlichkeit aufzunehmen.</w:t>
      </w:r>
    </w:p>
    <w:p>
      <w:r>
        <w:rPr>
          <w:color w:val="555555"/>
          <w:sz w:val="17"/>
        </w:rPr>
        <w:t xml:space="preserve">Zitiervorschlag: Art 66a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