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BayBO (Bayern) — Beteiligung des Nachbarn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Eigentümern der benachbarten Grundstücke sind vom Bauherrn oder seinem Beauftragten der Lageplan und die Bauzeichnungen zur Zustimmung vorzulegen. Die Zustimmung bedarf der Schriftform. Im Bauantrag ist anzugeben, ob zugestimmt wurde. Hat ein Nachbar nicht zugestimmt oder wird seinen Einwendungen nicht entsprochen, so ist ihm eine Ausfertigung der Baugenehmigung zuzustellen.</w:t>
      </w:r>
    </w:p>
    <w:p>
      <w:r>
        <w:t xml:space="preserve">(2) Der Nachbar ist Beteiligter im Sinn des Art. 13 Abs. 1 Nr. 1 BayVwVfG. Art. 28 BayVwVfG findet keine Anwendung. Sind an einem Baugenehmigungsverfahren mindestens zehn Nachbarn im gleichen Interesse beteiligt, ohne vertreten zu sein, so kann die Bauaufsichtsbehörde sie auffordern, innerhalb einer angemessenen Frist einen Vertreter zu bestellen; Art. 18 Abs. 1 Satz 2 und 3, Abs. 2 BayVwVfG findet Anwendung. Bei mehr als 20 Beteiligten im Sinn des Satzes 3 kann die Zustellung nach Abs. 1 Satz 4 durch öffentliche Bekanntmachung ersetzt werden; die Bekanntmachung hat den verfügenden Teil der Baugenehmigung, die Rechtsbehelfsbelehrung sowie einen Hinweis darauf zu enthalten, wo die Akten des Baugenehmigungsverfahrens eingesehen werden können. Die Zustellung gilt mit dem Tag der Bekanntmachung als bewirkt.</w:t>
      </w:r>
    </w:p>
    <w:p>
      <w:r>
        <w:t xml:space="preserve">(3) Ein Erbbauberechtigter tritt an die Stelle des Eigentümers. Ist Eigentümer des Nachbargrundstücks eine Eigentümergemeinschaft nach dem Wohnungseigentumsgesetz, so genügt die Vorlage nach Abs. 1 Satz 1 an den Verwalter; seine Zustimmung gilt jedoch nicht als Zustimmung der einzelnen Wohnungseigentümer. Der Eigentümer des Nachbargrundstücks nimmt auch die Rechte des Mieters oder Pächters wahr, die aus deren Eigentumsgrundrecht folgen.</w:t>
      </w:r>
    </w:p>
    <w:p>
      <w:r>
        <w:t xml:space="preserve">(4) In den Fällen des Art. 63 Abs. 4 finden die Abs. 1 bis 3 keine Anwendung.</w:t>
      </w:r>
    </w:p>
    <w:p>
      <w:r>
        <w:rPr>
          <w:color w:val="555555"/>
          <w:sz w:val="17"/>
        </w:rPr>
        <w:t xml:space="preserve">Zitiervorschlag: Art 66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