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65 BayBO (Bayern) — Behandlung des Bauantrags</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Bauaufsichtsbehörde hat innerhalb von drei Wochen nach Eingang des Bauantrags den Bauantrag und die Bauvorlagen auf Vollständigkeit zu prüfen. Ist der Bauantrag unvollständig oder weist er sonstige erhebliche Mängel auf, fordert die Bauaufsichtsbehörde den Bauherrn zur Behebung der Mängel innerhalb einer angemessenen Frist auf. Werden die Mängel innerhalb der Frist nicht behoben, gilt der Antrag als zurückgenommen, wenn der Antragsteller auf diese Rechtsfolge hingewiesen worden ist. Sobald der Bauantrag und die Bauvorlagen für die Entscheidung der Gemeinde über ihr Einvernehmen nach § 36 BauGB hinreichend vollständig sind, hat die Bauaufsichtsbehörde unverzüglich die Gemeinde zu beteiligen.</w:t>
      </w:r>
    </w:p>
    <w:p>
      <w:r>
        <w:t xml:space="preserve">(2) Die Bauaufsichtsbehörde hört zum Bauantrag diejenigen Stellen,</w:t>
      </w:r>
    </w:p>
    <w:p>
      <w:r>
        <w:t xml:space="preserve">1. deren Beteiligung oder Anhörung für die Entscheidung über den Bauantrag durch Rechtsvorschrift vorgeschrieben ist, oder</w:t>
      </w:r>
    </w:p>
    <w:p>
      <w:r>
        <w:t xml:space="preserve">2. ohne deren Stellungnahme die Genehmigungsfähigkeit des Bauantrags nicht beurteilt werden kann;</w:t>
      </w:r>
    </w:p>
    <w:p>
      <w:r>
        <w:t xml:space="preserve">die Beteiligung oder Anhörung entfällt, wenn die jeweilige Stelle dem Bauantrag bereits vor Einleitung des Baugenehmigungsverfahrens in Textform zugestimmt hat. Bedarf die Erteilung der Baugenehmigung der Zustimmung oder des Einvernehmens einer anderen Körperschaft, Behörde oder sonstigen Stelle, so gilt diese als erteilt, wenn sie nicht einen Monat nach Eingang des Ersuchens verweigert wird; von der Frist nach Halbsatz 1 abweichende Regelungen durch Rechtsvorschrift bleiben unberührt. Stellungnahmen bleiben unberücksichtigt, wenn sie nicht innerhalb eines Monats nach Aufforderung zur Stellungnahme bei der Bauaufsichtsbehörde eingehen, es sei denn, die verspätete Stellungnahme ist für die Rechtmäßigkeit der Entscheidung über den Bauantrag von Bedeutung.</w:t>
      </w:r>
    </w:p>
    <w:p>
      <w:r>
        <w:t xml:space="preserve">(3) Betrifft der Bauantrag eine Anlage, die in den Anwendungsbereich der Richtlinie (EU) 2018/2001 fällt, gilt:</w:t>
      </w:r>
    </w:p>
    <w:p>
      <w:r>
        <w:t xml:space="preserve">1. Auf Antrag des Bauherrn werden die erforderlichen Zulassungsverfahren über eine einheitliche Stelle im Sinne des Art. 71a Abs. 1 BayVwVfG abgewickelt.</w:t>
      </w:r>
    </w:p>
    <w:p>
      <w:r>
        <w:t xml:space="preserve">2. Einheitliche Stelle nach Nr. 1 sind die unteren Bauaufsichtsbehörden, soweit sich nicht aus Art. 1 Abs. 1 Satz 3 des Bayerischen Immissionsschutzgesetzes oder Art. 63 Abs. 8 BayWG Abweichendes ergibt.</w:t>
      </w:r>
    </w:p>
    <w:p>
      <w:r>
        <w:t xml:space="preserve">3. Die einheitliche Stelle stellt ein Verfahrenshandbuch für Bauherren bereit und macht diese Informationen auch im Internet zugänglich, wobei sie auch gesondert auf kleinere Vorhaben und Vorhaben zur Eigenversorgung mit Elektrizität eingeht und darauf hinweist, für welche Anlagen sie zuständig ist und welche anderen einheitlichen Stellen für Anlagen im Anwendungsbereich der Richtlinie (EU) 2018/2001 zuständig sind.</w:t>
      </w:r>
    </w:p>
    <w:p>
      <w:r>
        <w:t xml:space="preserve">4. Nach Eingang der vollständigen Antragsunterlagen stellt die untere Bauaufsichtsbehörde dem Bauherrn unverzüglich einen Zeitplan für das weitere Verfahren zur Verfügung.</w:t>
      </w:r>
    </w:p>
    <w:p>
      <w:r>
        <w:t xml:space="preserve">5. Das Baugenehmigungsverfahren darf nach Eingang des vollständigen Bauantrags</w:t>
      </w:r>
    </w:p>
    <w:p>
      <w:r>
        <w:t xml:space="preserve">a) für eine Anlage mit einer Stromerzeugungskapazität unter 150 kW oder im Fall des Repowering einer bestehenden Anlage im Sinne des Art. 2 Nr. 10 der Richtlinie (EU) 2018/2001 nicht länger als ein Jahr und</w:t>
      </w:r>
    </w:p>
    <w:p>
      <w:r>
        <w:t xml:space="preserve">b) im Übrigen nicht länger als zwei Jahre dauern; die Frist kann in durch außergewöhnliche Umstände hinreichend begründeten Fällen um bis zu einem Jahr verlängert werden.</w:t>
      </w:r>
    </w:p>
    <w:p>
      <w:r>
        <w:t xml:space="preserve">(4) Betrifft der Bauantrag eine Anlage, die der Erprobung oder Herstellung von Verteidigungsgütern oder verteidigungsrelevanten Technologien der Luft- und Raumfahrt dient, soll die Bauaufsichtsbehörde über den Antrag innerhalb von drei Monaten nach Eingang des vollständigen Bauantrags entscheiden.</w:t>
      </w:r>
    </w:p>
    <w:p>
      <w:r>
        <w:rPr>
          <w:color w:val="555555"/>
          <w:sz w:val="17"/>
        </w:rPr>
        <w:t xml:space="preserve">Zitiervorschlag: Art 65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