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BayBO (Bayern) — Bauantrag, Bauvorlagen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Bauantrag ist schriftlich bei der Bauaufsichtsbehörde einzureichen. Diese setzt unverzüglich die Gemeinde über Eingang und Inhalt in Kenntnis, soweit sie nicht selbst Gemeinde ist.</w:t>
      </w:r>
    </w:p>
    <w:p>
      <w:r>
        <w:t xml:space="preserve">(2) Mit dem Bauantrag sind alle für die Beurteilung des Bauvorhabens und die Bearbeitung des Bauantrags erforderlichen Unterlagen (Bauvorlagen) einzureichen. Es kann gestattet werden, dass einzelne Bauvorlagen nachgereicht werden.</w:t>
      </w:r>
    </w:p>
    <w:p>
      <w:r>
        <w:t xml:space="preserve">(3) In besonderen Fällen kann zur Beurteilung der Einwirkung des Bauvorhabens auf die Umgebung verlangt werden, dass es in geeigneter Weise auf dem Baugrundstück dargestellt wird.</w:t>
      </w:r>
    </w:p>
    <w:p>
      <w:r>
        <w:t xml:space="preserve">(4) Der Bauherr und der Entwurfsverfasser haben den Bauantrag und die Bauvorlagen zu unterschreiben. Soweit der Eigentümer oder der Erbbauberechtigte dem Bauvorhaben zugestimmt hat, ist er verpflichtet, bauaufsichtliche Maßnahmen zu dulden, die aus Nebenbestimmungen der Baugenehmigung herrühren.</w:t>
      </w:r>
    </w:p>
    <w:p>
      <w:r>
        <w:rPr>
          <w:color w:val="555555"/>
          <w:sz w:val="17"/>
        </w:rPr>
        <w:t xml:space="preserve">Zitiervorschlag: Art 64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