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63 BayBO (Bayern) — Abweichungen</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Bauaufsichtsbehörde soll Abweichungen von Anforderungen dieses Gesetzes und auf Grund dieses Gesetzes erlassener Vorschriften zulassen, wenn sie unter Berücksichtigung des Zwecks der jeweiligen Anforderung und bei Würdigung sowohl gesetzlich definierter überragender öffentlicher wie auch öffentlich-rechtlich geschützter nachbarlicher Interessen mit den öffentlichen Belangen, insbesondere den Anforderungen des Art. 3 Satz 1 vereinbar sind. Dies gilt insbesondere für</w:t>
      </w:r>
    </w:p>
    <w:p>
      <w:r>
        <w:t xml:space="preserve">1. Vorhaben, die der Weiternutzung bestehender Gebäude dienen,</w:t>
      </w:r>
    </w:p>
    <w:p>
      <w:r>
        <w:t xml:space="preserve">2. Abweichungen von den Anforderungen des Art. 6, wenn ein rechtmäßig errichtetes Gebäude durch ein Gebäude höchstens gleicher Abmessung und Gestalt ersetzt wird,</w:t>
      </w:r>
    </w:p>
    <w:p>
      <w:r>
        <w:t xml:space="preserve">3. Vorhaben zur Energieeinsparung und Nutzung erneuerbarer Energien,</w:t>
      </w:r>
    </w:p>
    <w:p>
      <w:r>
        <w:t xml:space="preserve">4. Vorhaben zur Erprobung neuer Bau- und Wohnformen.</w:t>
      </w:r>
    </w:p>
    <w:p>
      <w:r>
        <w:t xml:space="preserve">Der Zulassung einer Abweichung bedarf es nicht, wenn bautechnische Nachweise durch einen Prüfsachverständigen bescheinigt werden oder in den Fällen des Abs. 2 Satz 2 Halbsatz 1 das Vorliegen der Voraussetzung für eine Abweichung durch ihn bescheinigt wird. Art. 81a Abs. 1 Satz 2 bleibt unberührt.</w:t>
      </w:r>
    </w:p>
    <w:p>
      <w:r>
        <w:t xml:space="preserve">(2) Die Zulassung von Abweichungen nach Abs. 1 Satz 1, von Ausnahmen und Befreiungen von den Festsetzungen eines Bebauungsplans, einer sonstigen städtebaulichen Satzung oder von Regelungen der Baunutzungsverordnung ist gesondert schriftlich zu beantragen; der Antrag ist zu begründen. Für Anlagen, die keiner Genehmigung bedürfen, sowie für Abweichungen von Vorschriften, die im Genehmigungsverfahren nicht geprüft werden, gilt Satz 1 entsprechend; bei Bauvorhaben, die einer Genehmigung bedürfen, ist der Abweichungsantrag mit dem Bauantrag zu stellen.</w:t>
      </w:r>
    </w:p>
    <w:p>
      <w:r>
        <w:t xml:space="preserve">(3) Über Abweichungen nach Abs. 1 Satz 1 von örtlichen Bauvorschriften sowie über Ausnahmen und Befreiungen nach Abs. 2 Satz 1 entscheidet bei verfahrensfreien Bauvorhaben die Gemeinde nach Maßgabe der Abs. 1 und 2. Im Übrigen lässt die Bauaufsichtsbehörde Abweichungen von örtlichen Bauvorschriften im Einvernehmen mit der Gemeinde zu; § 36 Abs. 2 Satz 2 BauGB gilt entsprechend.</w:t>
      </w:r>
    </w:p>
    <w:p>
      <w:r>
        <w:t xml:space="preserve">(4) Für Vorhaben zur Erprobung oder Herstellung von Verteidigungsgütern oder verteidigungsrelevanten Technologien der Luft- und Raumfahrt gelten die Abs. 1 bis 3 entsprechend. Abweichungen können dabei auch zum Zweck der Geheimhaltung zugelassen werden.</w:t>
      </w:r>
    </w:p>
    <w:p>
      <w:r>
        <w:rPr>
          <w:color w:val="555555"/>
          <w:sz w:val="17"/>
        </w:rPr>
        <w:t xml:space="preserve">Zitiervorschlag: Art 63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https://recht.nulegal.eu/gesetze/BayBO/63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