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62a BayBO (Bayern) — Standsicherheitsnachweis</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Gebäuden der Gebäudeklassen 1 bis 3 und bei sonstigen baulichen Anlagen, die keine Gebäude sind, muss der Standsicherheitsnachweis erstellt sein</w:t>
      </w:r>
    </w:p>
    <w:p>
      <w:r>
        <w:t xml:space="preserve">1. von Personen mit einem berufsqualifizierenden Hochschulabschluss eines Studiums der Fachrichtung Architektur, Hochbau (Art. 49 Abs. 1 der Richtlinie 2005/36/EG) oder des Bauingenieurwesens mit einer mindestens dreijährigen Berufserfahrung in der Tragwerksplanung oder</w:t>
      </w:r>
    </w:p>
    <w:p>
      <w:r>
        <w:t xml:space="preserve">2. im Rahmen ihrer Bauvorlageberechtigung von</w:t>
      </w:r>
    </w:p>
    <w:p>
      <w:r>
        <w:t xml:space="preserve">a) staatlich geprüften Technikern der Fachrichtung Bautechnik und Handwerksmeistern des Maurer- und Betonbauer- sowie des Zimmererfachs (Art. 61 Abs. 3), wenn sie mindestens drei Jahre zusammenhängende Berufserfahrung nachweisen und die durch Rechtsverordnung gemäß Art. 80 Abs. 3 näher bestimmte Zusatzqualifikation besitzen oder</w:t>
      </w:r>
    </w:p>
    <w:p>
      <w:r>
        <w:t xml:space="preserve">b) Bauvorlageberechtigten nach Art. 61 Abs. 4 Nr. 6.</w:t>
      </w:r>
    </w:p>
    <w:p>
      <w:r>
        <w:t xml:space="preserve">(2) Der Standsicherheitsnachweis muss durch einen Prüfsachverständigen bescheinigt sein bei</w:t>
      </w:r>
    </w:p>
    <w:p>
      <w:r>
        <w:t xml:space="preserve">1. Gebäuden der Gebäudeklassen 4 und 5 sowie</w:t>
      </w:r>
    </w:p>
    <w:p>
      <w:r>
        <w:t xml:space="preserve">2. Gebäuden der Gebäudeklassen 1 bis 3, bei Behältern, Brücken, Stützmauern, Tribünen und bei sonstigen baulichen Anlagen mit einer freien Höhe von mehr als 10 m, die keine Gebäude sind, wenn dies nach Maßgabe eines in der Rechtsverordnung nach Art. 80 Abs. 4 geregelten Kriterienkatalogs erforderlich ist.</w:t>
      </w:r>
    </w:p>
    <w:p>
      <w:r>
        <w:t xml:space="preserve">Bei baulichen Anlagen nach Satz 1, die Sonderbauten sind, muss der Standsicherheitsnachweis durch die Bauaufsichtsbehörde, einen Prüfingenieur oder ein Prüfamt geprüft sein. Einer Bescheinigung oder Prüfung bedarf es nicht</w:t>
      </w:r>
    </w:p>
    <w:p>
      <w:r>
        <w:t xml:space="preserve">1. für Wohngebäude der Gebäudeklassen 1 und 2 sowie für oberirdische eingeschossige Gebäude mit freien Stützweiten von nicht mehr als 12 m und nicht mehr als 1 600 m ² , die nicht oder nur zum vorübergehenden Aufenthalt einzelner Personen bestimmt sind, sowie</w:t>
      </w:r>
    </w:p>
    <w:p>
      <w:r>
        <w:t xml:space="preserve">2. für Bauvorhaben oder deren Teile, für die Standsicherheitsnachweise vorliegen, die von einem Prüfamt oder der zuständigen Stelle eines anderen Landes allgemein geprüft sind (Typenprüfung).</w:t>
      </w:r>
    </w:p>
    <w:p>
      <w:r>
        <w:t xml:space="preserve">Im Übrigen wird der Standsicherheitsnachweis nicht geprüft.</w:t>
      </w:r>
    </w:p>
    <w:p>
      <w:r>
        <w:rPr>
          <w:color w:val="555555"/>
          <w:sz w:val="17"/>
        </w:rPr>
        <w:t xml:space="preserve">Zitiervorschlag: Art 62a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