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62 BayBO (Bayern) — Bautechnische Nachweise</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Einhaltung der Anforderungen an die Standsicherheit, den Brand-, Schall- und Erschütterungsschutz ist nach Maßgabe der Rechtsverordnung auf Grund des Art. 80 Abs. 4 nachzuweisen (bautechnische Nachweise). Bautechnische Nachweise sind nicht erforderlich für verfahrensfreie Bauvorhaben. Art. 57 Abs. 5 Satz 2 bis 5 und Regelungen auf Grund des Art. 80 Abs. 4 bleiben unberührt. Werden bautechnische Nachweise durch einen Prüfsachverständigen bescheinigt, gelten die entsprechenden Anforderungen auch in den Fällen des Art. 63 als eingehalten.</w:t>
      </w:r>
    </w:p>
    <w:p>
      <w:r>
        <w:t xml:space="preserve">(2) Die Bauvorlageberechtigung nach Art. 61 Abs. 2, 3 und 4 Nr. 2 bis 6 berechtigt zur Erstellung bautechnischer Nachweise, soweit die Art. 62a und 62b nichts Abweichendes bestimmen.</w:t>
      </w:r>
    </w:p>
    <w:p>
      <w:r>
        <w:t xml:space="preserve">(3) Tragwerksplaner nach Art. 62a Abs. 1 Nr. 1 und Brandschutzplaner nach Art. 62b Abs. 1 Nr. 3 sind in eine von der Bayerischen Architektenkammer oder der Bayerischen Ingenieurekammer-Bau zu führende Liste einzutragen. Vergleichbare Berechtigungen anderer Länder gelten auch im Freistaat Bayern. Für Personen, die in einem anderen Mitgliedstaat der Europäischen Union oder einem durch Abkommen gleichgestellten Staat zur Erstellung von Standsicherheits- oder Brandschutznachweisen niedergelassen sind, gilt Art. 61b mit der Maßgabe entsprechend, dass die Anzeige oder der Antrag auf Erteilung einer Bescheinigung bei der zuständigen Bayerischen Architektenkammer oder der Bayerischen Ingenieurekammer-Bau einzureichen ist. Art. 61 Abs. 5 Satz 2 bis 4 und Abs. 7 gilt entsprechend.</w:t>
      </w:r>
    </w:p>
    <w:p>
      <w:r>
        <w:rPr>
          <w:color w:val="555555"/>
          <w:sz w:val="17"/>
        </w:rPr>
        <w:t xml:space="preserve">Zitiervorschlag: Art 62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https://recht.nulegal.eu/gesetze/BayBO/62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