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61b BayBO (Bayern) — Bauvorlageberechtigung auswärtiger Dienstleister</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Personen, die in einem anderen Mitgliedstaat der Europäischen Union oder einem durch Abkommen gleichgestellten Staat rechtmäßig als Bauvorlageberechtigte niedergelassen sind und sich zu einer vorübergehenden und gelegentlichen Dienstleistungserbringung in den Freistaat Bayern begeben (auswärtige Dienstleister) sind bauvorlageberechtigt und haben sich in ein entsprechendes Verzeichnis bei der Bayerischen Ingenieurekammer-Bau einzutragen.</w:t>
      </w:r>
    </w:p>
    <w:p>
      <w:r>
        <w:t xml:space="preserve">(2) Ein auswärtiger Dienstleister nach Abs. 1 hat das erstmalige Erbringen von Dienstleistungen zuvor der Bayerischen Ingenieurekammer-Bau in Textform anzuzeigen. Einer Anzeige bedarf es nicht, wenn der auswärtige Dienstleister bereits aufgrund einer Regelung eines anderen Landes zur Dienstleistungserbringung berechtigt ist. Mit der Anzeige sind vorzulegen:</w:t>
      </w:r>
    </w:p>
    <w:p>
      <w:r>
        <w:t xml:space="preserve">1. ein Identitätsnachweis,</w:t>
      </w:r>
    </w:p>
    <w:p>
      <w:r>
        <w:t xml:space="preserve">2. eine Bescheinigung, dass er in einem Mitgliedstaat der Europäischen Union oder einem durch Abkommen gleichgestellten Staat rechtmäßig zur Ausübung der betreffenden Tätigkeit niedergelassen ist und ihm die Ausübung dieser Tätigkeit zum Zeitpunkt der Vorlage der Bescheinigung nicht, auch nicht vorübergehend, untersagt ist,</w:t>
      </w:r>
    </w:p>
    <w:p>
      <w:r>
        <w:t xml:space="preserve">3. ein Berufsqualifikationsnachweis,</w:t>
      </w:r>
    </w:p>
    <w:p>
      <w:r>
        <w:t xml:space="preserve">4. in den in Art. 61a Abs. 2 Satz 2 genannten Fällen ein Nachweis in beliebiger Form darüber, dass der auswärtige Dienstleister die betreffende Tätigkeit mindestens ein Jahr während der vorhergehenden zehn Jahre ausgeübt hat, sofern der Beruf im Niederlassungsmitgliedstaat nicht reglementiert ist,</w:t>
      </w:r>
    </w:p>
    <w:p>
      <w:r>
        <w:t xml:space="preserve">5. ein Nachweis über den ausreichenden Versicherungsschutz.</w:t>
      </w:r>
    </w:p>
    <w:p>
      <w:r>
        <w:t xml:space="preserve">Im Übrigen gelten die Art. 12 und 13 BayBQFG entsprechend.</w:t>
      </w:r>
    </w:p>
    <w:p>
      <w:r>
        <w:t xml:space="preserve">(3) Die Vorlage der Meldung nach Abs. 2 berechtigt den auswärtigen Dienstleister zur Erstellung von Bauvorlagen. Die Bayerische Ingenieurekammer-Bau kann die Unterlagen nach Abs. 2 Satz 3 nachprüfen. Die Erstellung von Bauvorlagen ist dem auswärtigen Dienstleister nur zu untersagen, wenn der auswärtige Dienstleister nicht zur Ausübung desselben Berufs rechtmäßig in einem Mitgliedstaat niedergelassen ist, ihm die Ausübung dieser Tätigkeit in einem Mitgliedstaat nach der Anzeige untersagt wird oder er die Voraussetzungen des Art. 61a Abs. 2 Satz 2 nicht erfüllt. In diesem Fall ist dem auswärtigen Dienstleister entsprechend Art. 11 BayBQFG die Möglichkeit einzuräumen, fehlende Kenntnisse, Fähigkeiten und Kompetenzen durch einen Anpassungslehrgang zu erwerben oder eine Eignungsprüfung abzulegen. Ist der auswärtige Dienstleister zur Ausübung desselben Berufs rechtmäßig in einem Mitgliedstaat niedergelassen oder erfüllt er die Voraussetzungen des Art. 61a Abs. 2 Satz 2, so darf ihm die Erstellung von Bauvorlagen nicht aufgrund seiner Berufsqualifikation beschränkt werden.</w:t>
      </w:r>
    </w:p>
    <w:p>
      <w:r>
        <w:t xml:space="preserve">(4) Das Recht zur Führung der Berufsbezeichnung des Niederlassungsstaates nach Art. 7 Abs. 3 der Richtlinie 2005/36/EG bleibt unberührt. Die Berufsbezeichnung ist dann so zu führen, dass keine Verwechslung mit einer inländischen Berufsbezeichnung möglich ist.</w:t>
      </w:r>
    </w:p>
    <w:p>
      <w:r>
        <w:t xml:space="preserve">(5) Auswärtige bauvorlageberechtigte Ingenieure haben die Berufspflichten zu beachten. Die Bayerische Ingenieurekammer-Bau stellt über die Eintragung in das Verzeichnis nach Abs. 1 eine auf fünf Jahre befristete Bescheinigung aus, die auf Antrag verlängert werden kann.</w:t>
      </w:r>
    </w:p>
    <w:p>
      <w:r>
        <w:t xml:space="preserve">(6) Art. 61 Abs. 7 gilt entsprechend. Art. 16 BayBQFG gilt entsprechend.</w:t>
      </w:r>
    </w:p>
    <w:p>
      <w:r>
        <w:rPr>
          <w:color w:val="555555"/>
          <w:sz w:val="17"/>
        </w:rPr>
        <w:t xml:space="preserve">Zitiervorschlag: Art 61b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https://recht.nulegal.eu/gesetze/BayBO/61b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