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61a BayBO (Bayern) — Bauvorlageberechtigung Staatsangehöriger anderer Mitgliedstaaten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ist in die Liste nach Art. 61 Abs. 5 einzutragen, wer über einen auswärtigen Hochschulabschluss verfügt, der den in Art. 61 Abs. 5 Satz 1 Nr. 1 genannten Anforderungen gleichwertig ist, und die Anforderungen des Art. 61 Abs. 5 Satz 1 Nr. 2 erfüllt. Art. 61 Abs. 5 Satz 4 und 5 findet entsprechende Anwendung.</w:t>
      </w:r>
    </w:p>
    <w:p>
      <w:r>
        <w:t xml:space="preserve">(2) Ein Antragsteller wird in die Liste nach Art. 61 Abs. 5 auch eingetragen, wenn</w:t>
      </w:r>
    </w:p>
    <w:p>
      <w:r>
        <w:t xml:space="preserve">1. er in Bezug auf die Studienanforderungen einen Ausbildungsnachweis nach Art. 11 der Richtlinie 2005/36/EG besitzt, soweit dieser in einem Mitgliedstaat der Europäischen Union oder einem durch Abkommen gleichgestellten Staat erforderlich ist, um in dessen Hoheitsgebiet die Erlaubnis zur Aufnahme und Ausübung dieses Berufes zu erhalten,</w:t>
      </w:r>
    </w:p>
    <w:p>
      <w:r>
        <w:t xml:space="preserve">2. der Ausbildungsnachweis den Anforderungen nach Art. 13 Abs. 2 UnterAbs. 2 der Richtlinie 2005/36/EG genügt und</w:t>
      </w:r>
    </w:p>
    <w:p>
      <w:r>
        <w:t xml:space="preserve">3. die berufspraktische Tätigkeit mit den Anforderungen nach Art. 61 Abs. 5 Satz 1 Nr. 2 vergleichbar ist.</w:t>
      </w:r>
    </w:p>
    <w:p>
      <w:r>
        <w:t xml:space="preserve">Satz 1 gilt auch für einen Antragsteller, der nachweist, dass er</w:t>
      </w:r>
    </w:p>
    <w:p>
      <w:r>
        <w:t xml:space="preserve">1. diesen Beruf ein Jahr lang vollzeitbeschäftigt oder während einer entsprechenden Gesamtdauer in Teilzeit während der vorhergehenden zehn Jahre in Mitgliedstaaten der Europäischen Union oder einem gleichgestellten Staat ausgeübt hat, sofern der Beruf im Niederlassungsmitgliedstaat nicht reglementiert ist,</w:t>
      </w:r>
    </w:p>
    <w:p>
      <w:r>
        <w:t xml:space="preserve">2. im Besitz eines Befähigungs- oder Ausbildungsnachweises ist, der den Anforderungen nach Art. 13 Abs. 2 UnterAbs. 2 der Richtlinie 2005/36/EG genügt und</w:t>
      </w:r>
    </w:p>
    <w:p>
      <w:r>
        <w:t xml:space="preserve">3. keine wesentlichen Unterschiede gemäß Art. 61 Abs. 5 Satz 1 Nr. 1 bestehen.</w:t>
      </w:r>
    </w:p>
    <w:p>
      <w:r>
        <w:t xml:space="preserve">Kann eine Eintragung in die Liste nicht erfolgen, weil der Antragsteller die Voraussetzungen der Sätze 1 oder 2 nicht erfüllt, ist dies durch Bescheid gemäß Art. 10 des Bayerischen Berufsqualifikationsfeststellungsgesetzes (BayBQFG) festzustellen.</w:t>
      </w:r>
    </w:p>
    <w:p>
      <w:r>
        <w:t xml:space="preserve">(3) Antragsteller haben zum Nachweis der Voraussetzungen des Abs. 2 Unterlagen nach Art. 50 Abs. 1 der Richtlinie 2005/36/EG in Verbindung mit deren Anhang VII Nr. 1 Buchst. a und b Satz 1 sowie auf Anforderung nach Anhang VII Nr. 1 Buchst. b UnterAbs. 2 dieser Richtlinie vorzulegen. Gibt der Antragsteller an, hierzu nicht in der Lage zu sein, wendet sich die Bayerische Ingenieurekammer-Bau zur Beschaffung der erforderlichen Unterlagen an das Beratungszentrum nach Art. 57b der Richtlinie 2005/36/EG, die zuständige Behörde oder eine Ausbildungsstelle des Herkunftsmitgliedstaates. Bei Ausbildungsnachweisen gemäß Art. 50 Abs. 3 der Richtlinie 2005/36/EG kann die Bayerische Ingenieurekammer-Bau bei berechtigten Zweifeln von der zuständigen Stelle des Ausstellungsstaates die Überprüfung der Kriterien gemäß Art. 50 Abs. 3 Buchst. a bis c der Richtlinie 2005/36/EG verlangen. War der Antragsteller bereits in einem anderen Mitgliedstaat der Europäischen Union oder einem gleichgestellten Staat tätig, kann die Bayerische Ingenieurekammer-Bau im Fall berechtigter Zweifel von der im Herkunftsstaat zuständigen Behörde eine Bestätigung der Tatsache verlangen, dass die Ausübung dieses Berufes durch den Antragsteller nicht aufgrund schwerwiegenden standeswidrigen Verhaltens oder einer Verurteilung wegen strafbarer Handlungen untersagt worden ist. Im Übrigen finden die Vorschriften des Art. 50 Abs. 1 der Richtlinie 2005/36/EG in Verbindung mit deren Anhang VII Nr. 1 Buchst. d bis g Anwendung. Die auf Verlangen übermittelten Unterlagen und Bescheinigungen dürfen bei ihrer Vorlage nicht älter als drei Monate sein. Der Informationsaustausch erfolgt über das Binnenmarkt-Informationssystem (IMI). Im Übrigen gelten die Art. 12 und 13 BayBQFG entsprechend.</w:t>
      </w:r>
    </w:p>
    <w:p>
      <w:r>
        <w:t xml:space="preserve">(4) Über die Eintragung nach den Abs. 1 und 2 in die Liste ist eine Bescheinigung auszustellen. Die Liste enthält folgende Angaben:</w:t>
      </w:r>
    </w:p>
    <w:p>
      <w:r>
        <w:t xml:space="preserve">1. Zeitpunkt der Eintragung,</w:t>
      </w:r>
    </w:p>
    <w:p>
      <w:r>
        <w:t xml:space="preserve">2. Familienname, Geburtsname und Vornamen,</w:t>
      </w:r>
    </w:p>
    <w:p>
      <w:r>
        <w:t xml:space="preserve">3. Geburtsdatum, Geburtsort und Geschlecht,</w:t>
      </w:r>
    </w:p>
    <w:p>
      <w:r>
        <w:t xml:space="preserve">4. akademische Grade und Titel,</w:t>
      </w:r>
    </w:p>
    <w:p>
      <w:r>
        <w:t xml:space="preserve">5. ladungsfähige Adresse,</w:t>
      </w:r>
    </w:p>
    <w:p>
      <w:r>
        <w:t xml:space="preserve">6. Staatsangehörigkeit des Antragstellers,</w:t>
      </w:r>
    </w:p>
    <w:p>
      <w:r>
        <w:t xml:space="preserve">7. Staat, in dem die Berufsqualifikation erworben wurde.</w:t>
      </w:r>
    </w:p>
    <w:p>
      <w:r>
        <w:t xml:space="preserve">Wesentliche Änderungen gegenüber der nach Satz 2 bescheinigten Situation hat der Antragsteller der Bayerischen Ingenieurekammer-Bau unverzüglich mitzuteilen. Art. 7 BauKaG gilt entsprechend.</w:t>
      </w:r>
    </w:p>
    <w:p>
      <w:r>
        <w:t xml:space="preserve">(5) Antragsteller, die nicht nach Abs. 2 in die Liste eingetragen werden können, weil sie aufgrund von wesentlichen Unterschieden nicht über eine gleichwertige Berufsqualifikation verfügen und die über einen Ausbildungsnachweis im Sinne des Abs. 2 verfügen, der dem Berufsqualifikationsniveau nach Art. 11 Buchst. b, c, d oder e der Richtlinie 2005/36/EG entspricht, können einen höchstens dreijährigen Anpassungslehrgang absolvieren oder eine Eignungsprüfung (Ausgleichsmaßnahmen) ablegen. Beantragt ein Inhaber einer Berufsqualifikation gemäß Art. 11 Buchst. a der Richtlinie 2005/36/EG die Anerkennung seiner Berufsqualifikationen und ist die erforderliche Berufsqualifikation unter Art. 11 Buchst. d der Richtlinie 2005/36/EG eingestuft, so kann die Bayerische Ingenieurekammer-Bau sowohl einen Anpassungslehrgang als auch eine Eignungsprüfung vorschreiben. Art. 11 Abs. 3 Satz 2 BayBQFG gilt entsprechend.</w:t>
      </w:r>
    </w:p>
    <w:p>
      <w:r>
        <w:t xml:space="preserve">(6) Die Einzelheiten zur Durchführung von Ausgleichsmaßnahmen werden durch Satzung der Bayerischen Ingenieurekammer-Bau festgelegt. Die nach Maßgabe der Rechtsverordnung gemäß Art. 18 Abs. 4 Satz 2 BauKaG erlassene Satzung bedarf der Genehmigung der nach Art. 12 Abs. 6 BauKaG zuständigen Aufsichtsbehörde.</w:t>
      </w:r>
    </w:p>
    <w:p>
      <w:r>
        <w:t xml:space="preserve">(7) Die Bayerische Ingenieurekammer-Bau kann mit anderen zuständigen Stellen innerhalb der Bundesrepublik Deutschland landesübergreifende Vereinbarungen zur Durchführung von Ausgleichsmaßnahmen schließen. Die Vereinbarung bedarf der Genehmigung des Staatsministeriums für Wohnen, Bau und Verkehr.</w:t>
      </w:r>
    </w:p>
    <w:p>
      <w:r>
        <w:t xml:space="preserve">(8) Art. 61 Abs. 7 gilt entsprechend. Art. 16 BayBQFG gilt entsprechend.</w:t>
      </w:r>
    </w:p>
    <w:p>
      <w:r>
        <w:rPr>
          <w:color w:val="555555"/>
          <w:sz w:val="17"/>
        </w:rPr>
        <w:t xml:space="preserve">Zitiervorschlag: Art 61a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