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BayBO (Bayern) — Bauvorlageberechtigung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Bauvorlagen für die nicht verfahrensfreie Errichtung und Änderung von Gebäuden müssen von einem Entwurfsverfasser erstellt sein, der bauvorlageberechtigt ist.</w:t>
      </w:r>
    </w:p>
    <w:p>
      <w:r>
        <w:t xml:space="preserve">(2) Bauvorlageberechtigt ist, wer</w:t>
      </w:r>
    </w:p>
    <w:p>
      <w:r>
        <w:t xml:space="preserve">1. die Berufsbezeichnung „Architektin“ oder „Architekt“ führen darf,</w:t>
      </w:r>
    </w:p>
    <w:p>
      <w:r>
        <w:t xml:space="preserve">2. in die von der Bayerischen Ingenieurekammer-Bau geführte Liste der bauvorlageberechtigten Ingenieure eingetragen ist; vergleichbare Eintragungen anderer Länder gelten auch im Freistaat Bayern.</w:t>
      </w:r>
    </w:p>
    <w:p>
      <w:r>
        <w:t xml:space="preserve">(3) Bauvorlageberechtigt sind ferner die Angehörigen der Fachrichtungen Architektur, Hochbau oder Bauingenieurwesen‚ die Absolventen einer Ausbildung sind, die dazu berechtigt, die Berufsbezeichnung „Ingenieurin“ oder „Ingenieur“ führen zu dürfen, sowie die staatlich geprüften Techniker der Fachrichtung Bautechnik und die Handwerksmeister des Maurer- und Betonbauer- sowie des Zimmererfachs für</w:t>
      </w:r>
    </w:p>
    <w:p>
      <w:r>
        <w:t xml:space="preserve">1. freistehende oder nur einseitig angebaute oder anbaubare Wohngebäude der Gebäudeklassen 1 bis 3 mit nicht mehr als drei Wohnungen,</w:t>
      </w:r>
    </w:p>
    <w:p>
      <w:r>
        <w:t xml:space="preserve">2. eingeschossige gewerblich genutzte Gebäude mit freien Stützweiten von nicht mehr als 12 m und nicht mehr als 250 m 2 ,</w:t>
      </w:r>
    </w:p>
    <w:p>
      <w:r>
        <w:t xml:space="preserve">3. land- oder forstwirtschaftlich genutzte Gebäude,</w:t>
      </w:r>
    </w:p>
    <w:p>
      <w:r>
        <w:t xml:space="preserve">4. Kleingaragen im Sinn der Rechtsverordnung nach Art. 80 Abs. 1 Satz 1 Nr. 3,</w:t>
      </w:r>
    </w:p>
    <w:p>
      <w:r>
        <w:t xml:space="preserve">5. einfache Änderungen von sonstigen Gebäuden.</w:t>
      </w:r>
    </w:p>
    <w:p>
      <w:r>
        <w:t xml:space="preserve">Staatsangehörige eines anderen Mitgliedstaates der Europäischen Union oder eines durch Abkommen gleichgestellten Staates sind im Sinn des Satzes 1 bauvorlageberechtigt, wenn sie eine vergleichbare Berechtigung besitzen und dafür den staatlich geprüften Technikern der Fachrichtung Bautechnik oder den Handwerksmeistern des Maurer- und Betonbauer- sowie des Zimmererfachs vergleichbare Anforderungen erfüllen mussten.</w:t>
      </w:r>
    </w:p>
    <w:p>
      <w:r>
        <w:t xml:space="preserve">(4) Bauvorlageberechtigt ist ferner, wer</w:t>
      </w:r>
    </w:p>
    <w:p>
      <w:r>
        <w:t xml:space="preserve">1. unter Beschränkung auf sein Fachgebiet Bauvorlagen aufstellt, die üblicherweise von Fachkräften mit einer anderen Ausbildung als sie die in Abs. 2 genannten Personen haben, aufgestellt werden,</w:t>
      </w:r>
    </w:p>
    <w:p>
      <w:r>
        <w:t xml:space="preserve">2. für ein Amt ab der Besoldungsgruppe A 10 in der Fachlaufbahn Naturwissenschaft und Technik, fachlicher Schwerpunkt bautechnischer und umweltfachlicher Verwaltungsdienst, qualifiziert ist, für seine Tätigkeit für seinen Dienstherrn,</w:t>
      </w:r>
    </w:p>
    <w:p>
      <w:r>
        <w:t xml:space="preserve">3. einen berufsqualifizierenden Hochschulabschluss eines Studiums der Fachrichtung Architektur, Hochbau (Art. 49 Abs. 1 der Richtlinie 2005/36/EG) oder Bauingenieurwesen nachweist, danach mindestens zwei Jahre auf dem Gebiet der Entwurfsplanung von Gebäuden praktisch tätig gewesen ist und Bedienstete oder Bediensteter einer juristischen Person des öffentlichen Rechts ist, für die dienstliche Tätigkeit,</w:t>
      </w:r>
    </w:p>
    <w:p>
      <w:r>
        <w:t xml:space="preserve">4. die Berufsbezeichnung „Innenarchitektin“ oder „Innenarchitekt“ führen darf, für die mit der Berufsaufgabe verbundenen baulichen Änderungen von Gebäuden,</w:t>
      </w:r>
    </w:p>
    <w:p>
      <w:r>
        <w:t xml:space="preserve">5. Ingenieurin oder Ingenieur der Fachrichtung Innenausbau ist und eine praktische Tätigkeit in dieser Fachrichtung von mindestens zwei Jahren ausgeübt hat, für die Planung von Innenräumen und die damit verbundenen baulichen Änderungen von Gebäuden; Abs. 3 Satz 2 gilt entsprechend,</w:t>
      </w:r>
    </w:p>
    <w:p>
      <w:r>
        <w:t xml:space="preserve">6. einen Studiengang der Fachrichtung Holzbau und Ausbau, den das Staatsministerium für Wohnen, Bau und Verkehr als gleichwertig mit einer Ausbildung nach Abs. 3 einschließlich der Anforderungen auf Grund der Rechtsverordnung nach Art. 80 Abs. 3 anerkannt hat, erfolgreich abgeschlossen hat, für die Bauvorhaben nach Abs. 3, sofern sie in Holzbauweise errichtet werden; Abs. 3 Satz 2 gilt entsprechend.</w:t>
      </w:r>
    </w:p>
    <w:p>
      <w:r>
        <w:t xml:space="preserve">(5) In die Liste der bauvorlageberechtigten Ingenieure nach Abs. 2 Nr. 2 ist auf Antrag von der Bayerischen Ingenieurekammer-Bau einzutragen, wer</w:t>
      </w:r>
    </w:p>
    <w:p>
      <w:r>
        <w:t xml:space="preserve">1. auf Grund eines Studiums des Bauingenieurwesens die Voraussetzungen zur Führung der Berufsbezeichnung „Ingenieur“ oder „Ingenieurin“ nach dem Gesetz zum Schutze der Berufsbezeichnung „Ingenieur“ und „Ingenieurin“ – Ingenieurgesetz – IngG – (BayRS 702-2-W) in der jeweils geltenden Fassung, erfüllt oder einen berufsqualifizierenden Hochschulabschluss eines Studiums der Fachrichtung Hochbau (Art. 49 Abs. 1 der Richtlinie 2005/36/EG) nachweist und</w:t>
      </w:r>
    </w:p>
    <w:p>
      <w:r>
        <w:t xml:space="preserve">2. danach mindestens zwei Jahre auf dem Gebiet der Entwurfsplanung von Gebäuden praktisch tätig gewesen ist.</w:t>
      </w:r>
    </w:p>
    <w:p>
      <w:r>
        <w:t xml:space="preserve">Art. 7 des Baukammerngesetzes (BauKaG) gilt entsprechend. Dem Antrag sind die zur Beurteilung erforderlichen Unterlagen beizufügen. Art. 42a BayVwVfG gilt entsprechend mit der Maßgabe, dass die Frist nur einmalig um bis zu einen Monat verlängert werden kann. Einer Eintragung bedarf es nicht, wenn der Antragsteller aufgrund der Regelung eines anderen Landes bauvorlageberechtigt ist.</w:t>
      </w:r>
    </w:p>
    <w:p>
      <w:r>
        <w:t xml:space="preserve">(6) Unternehmen dürfen Bauvorlagen als Entwurfsverfasser erstellen, wenn dies unter der Leitung eines Bauvorlageberechtigten nach den Abs. 2 bis 4, Art. 61a Abs. 1 und 2 oder Art. 61b Abs. 1 erfolgt. Auf den Bauvorlagen ist der Name des Bauvorlageberechtigten anzugeben.</w:t>
      </w:r>
    </w:p>
    <w:p>
      <w:r>
        <w:t xml:space="preserve">(7) Für Bauvorlageberechtigte, die weder Mitglied der Bayerischen Architektenkammer noch der Bayerischen Ingenieurekammer-Bau sind, gilt Art. 24 Abs. 1 Satz 2 Nr. 4 BauKaG entsprechend.</w:t>
      </w:r>
    </w:p>
    <w:p>
      <w:r>
        <w:rPr>
          <w:color w:val="555555"/>
          <w:sz w:val="17"/>
        </w:rPr>
        <w:t xml:space="preserve">Zitiervorschlag: Art 61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