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BayBO (Bayern) — Baugenehmigungsverfahren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Sonderbauten prüft die Bauaufsichtsbehörde</w:t>
      </w:r>
    </w:p>
    <w:p>
      <w:r>
        <w:t xml:space="preserve">1. die Übereinstimmung mit den Vorschriften über die Zulässigkeit der baulichen Anlagen nach den §§ 29 bis 38 BauGB,</w:t>
      </w:r>
    </w:p>
    <w:p>
      <w:r>
        <w:t xml:space="preserve">2. Anforderungen nach den Vorschriften dieses Gesetzes und auf Grund dieses Gesetzes,</w:t>
      </w:r>
    </w:p>
    <w:p>
      <w:r>
        <w:t xml:space="preserve">3. andere öffentlich-rechtliche Anforderungen, soweit wegen der Baugenehmigung eine Entscheidung nach anderen öffentlich-rechtlichen Vorschriften entfällt, ersetzt oder eingeschlossen wird.</w:t>
      </w:r>
    </w:p>
    <w:p>
      <w:r>
        <w:t xml:space="preserve">Die Art. 62 bis 62b bleiben unberührt.</w:t>
      </w:r>
    </w:p>
    <w:p>
      <w:r>
        <w:rPr>
          <w:color w:val="555555"/>
          <w:sz w:val="17"/>
        </w:rPr>
        <w:t xml:space="preserve">Zitiervorschlag: Art 60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