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BayBO (Bayern) — Genehmigungsfreistellung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Errichtung, Änderung und Nutzungsänderung einer baulichen Anlage, die kein Sonderbau ist, ist genehmigungsfrei gestellt, wenn</w:t>
      </w:r>
    </w:p>
    <w:p>
      <w:r>
        <w:t xml:space="preserve">1. sie im Geltungsbereich eines Bebauungsplans im Sinn des § 30 Abs. 1 oder der §§ 12, 30 Abs. 2 BauGB liegt,</w:t>
      </w:r>
    </w:p>
    <w:p>
      <w:r>
        <w:t xml:space="preserve">2. sie den Festsetzungen des Bebauungsplans und den Regelungen örtlicher Bauvorschriften im Sinn des Art. 81 Abs. 1 nicht widerspricht,</w:t>
      </w:r>
    </w:p>
    <w:p>
      <w:r>
        <w:t xml:space="preserve">3. die Erschließung im Sinn des Baugesetzbuchs gesichert ist,</w:t>
      </w:r>
    </w:p>
    <w:p>
      <w:r>
        <w:t xml:space="preserve">4. sie nicht die Errichtung, Änderung oder Nutzungsänderung baulicher Anlagen betrifft,</w:t>
      </w:r>
    </w:p>
    <w:p>
      <w:r>
        <w:t xml:space="preserve">a) durch die dem Wohnen dienende Nutzungseinheiten mit einer Größe von insgesamt mehr als 5 000 m 2 Bruttogrundfläche geschaffen werden oder</w:t>
      </w:r>
    </w:p>
    <w:p>
      <w:r>
        <w:t xml:space="preserve">b) die öffentlich zugänglich sind und der gleichzeitigen Nutzung durch mehr als 100 Personen dienen</w:t>
      </w:r>
    </w:p>
    <w:p>
      <w:r>
        <w:t xml:space="preserve">und die Vorhaben den angemessenen Sicherheitsabstand im Sinn des Art. 13 Abs. 2 Buchst. a der Richtlinie 2012/18/EU zu einem Betriebsbereich nicht einhalten und</w:t>
      </w:r>
    </w:p>
    <w:p>
      <w:r>
        <w:t xml:space="preserve">5. die Gemeinde nicht innerhalb der Frist nach Abs. 2 Satz 5 erklärt, dass das vereinfachte Baugenehmigungsverfahren durchgeführt werden soll, oder eine vorläufige Untersagung nach § 15 Abs. 1 Satz 2 BauGB beantragt.</w:t>
      </w:r>
    </w:p>
    <w:p>
      <w:r>
        <w:t xml:space="preserve">Die Gemeinde kann durch örtliche Bauvorschrift im Sinn des Art. 81 Abs. 2 die Anwendung dieser Vorschrift auf bestimmte handwerkliche und gewerbliche Bauvorhaben ausschließen.</w:t>
      </w:r>
    </w:p>
    <w:p>
      <w:r>
        <w:t xml:space="preserve">(2) Der Bauherr hat die erforderlichen Unterlagen bei der Gemeinde einzureichen; die Gemeinde legt, soweit sie nicht selbst Bauaufsichtsbehörde ist, eine Fertigung der Unterlagen unverzüglich der unteren Bauaufsichtsbehörde vor. Spätestens mit der Vorlage bei der Gemeinde benachrichtigt der Bauherr die Eigentümer der benachbarten Grundstücke von dem Bauvorhaben. Ist ein zu benachrichtigender Eigentümer nur unter Schwierigkeiten zu ermitteln oder zu benachrichtigen, so genügt die Benachrichtigung des unmittelbaren Besitzers. Art. 66 Abs. 1 Satz 1 und 2 und Abs. 3 gilt entsprechend. Mit dem Bauvorhaben darf einen Monat nach Vorlage der erforderlichen Unterlagen bei der Gemeinde begonnen werden. Teilt die Gemeinde dem Bauherrn vor Ablauf der Frist schriftlich mit, dass kein Genehmigungsverfahren durchgeführt werden soll und sie eine Untersagung nach § 15 Abs. 1 Satz 2 BauGB nicht beantragen wird, darf der Bauherr mit der Ausführung des Bauvorhabens beginnen; von der Mitteilung nach Halbsatz 1 hat die Gemeinde die Bauaufsichtsbehörde zu unterrichten. Will der Bauherr mit der Ausführung des Bauvorhabens mehr als vier Jahre, nachdem die Bauausführung nach den Sätzen 5 und 6 zulässig geworden ist, beginnen, gelten die Sätze 1 bis 6 entsprechend.</w:t>
      </w:r>
    </w:p>
    <w:p>
      <w:r>
        <w:t xml:space="preserve">(3) Die Erklärung der Gemeinde nach Abs. 1 Satz 1 Nr. 5 Alternative 1 kann insbesondere deshalb erfolgen, weil sie eine Überprüfung der sonstigen Voraussetzungen des Abs. 1 oder des Bauvorhabens aus anderen Gründen für erforderlich hält. Darauf, dass die Gemeinde von ihrer Erklärungsmöglichkeit keinen Gebrauch macht, besteht kein Rechtsanspruch. Hat der Bauherr bei der Vorlage der Unterlagen bestimmt, dass seine Vorlage im Fall der Erklärung nach Abs. 1 Nr. 5 als Bauantrag zu behandeln ist, leitet sie die Unterlagen gleichzeitig mit der Erklärung an die Bauaufsichtsbehörde weiter.</w:t>
      </w:r>
    </w:p>
    <w:p>
      <w:r>
        <w:t xml:space="preserve">(4) Die Art. 62 bis 62b bleiben unberührt. Art. 64 Abs. 2 Satz 1, Abs. 4 Satz 1 und 2, Art. 68 Abs. 6 Nr. 2 und 3, Abs. 7 und 8 sind entsprechend anzuwenden.</w:t>
      </w:r>
    </w:p>
    <w:p>
      <w:r>
        <w:rPr>
          <w:color w:val="555555"/>
          <w:sz w:val="17"/>
        </w:rPr>
        <w:t xml:space="preserve">Zitiervorschlag: Art 58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