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54 BayBO (Bayern) — Aufgaben und Befugnisse der Bauaufsichtsbehörden</w:t>
      </w:r>
    </w:p>
    <w:p>
      <w:r>
        <w:rPr>
          <w:color w:val="555555"/>
          <w:sz w:val="18"/>
        </w:rPr>
        <w:t xml:space="preserve">Bayerische Bauordnung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Aufgaben der Bauaufsichtsbehörden sind Staatsaufgaben; für die Gemeinden sind sie übertragene Aufgaben.</w:t>
      </w:r>
    </w:p>
    <w:p>
      <w:r>
        <w:t xml:space="preserve">(2) Die Bauaufsichtsbehörden haben bei der Errichtung, Änderung, Nutzungsänderung und Beseitigung sowie bei der Nutzung und Instandhaltung von Anlagen darüber zu wachen, dass die öffentlich-rechtlichen Vorschriften und die auf Grund dieser Vorschriften erlassenen Anordnungen eingehalten werden, soweit nicht andere Behörden zuständig sind. Sie können in Wahrnehmung dieser Aufgaben die erforderlichen Maßnahmen treffen; sie sind berechtigt, die Vorlage von Bescheinigungen von Prüfsachverständigen zu verlangen. Bauaufsichtliche Genehmigungen, Vorbescheide und sonstige Maßnahmen gelten auch für und gegen die Rechtsnachfolger; das gilt auch für Personen, die ein Besitzrecht nach Erteilung einer bauaufsichtlichen Genehmigung, eines Vorbescheids oder nach Erlass einer bauaufsichtlichen Maßnahme erlangt haben. Die mit dem Vollzug dieses Gesetzes beauftragten Personen sind berechtigt, in Ausübung ihres Amtes Grundstücke und Anlagen einschließlich der Wohnungen zu betreten; das Grundrecht der Unverletzlichkeit der Wohnung (Art. 13 des Grundgesetzes, Art. 106 Abs. 3 der Verfassung) wird insoweit eingeschränkt.</w:t>
      </w:r>
    </w:p>
    <w:p>
      <w:r>
        <w:t xml:space="preserve">(3) Soweit die Vorschriften des Zweiten und des Dritten Teils mit Ausnahme der Art. 8 und 9 und die auf Grund dieses Gesetzes erlassenen Vorschriften nicht ausreichen, um die Anforderungen nach Art. 3 zu erfüllen, können die Bauaufsichtsbehörden im Einzelfall weitergehende Anforderungen stellen, um erhebliche Gefahren abzuwehren, bei Sonderbauten auch zur Abwehr von Nachteilen; dies gilt nicht für Sonderbauten, soweit für sie eine Rechtsverordnung nach Art. 80 Abs. 1 Nr. 4 erlassen worden ist. Die Anforderungen des Satzes 1 Halbsatz 1 gelten nicht für Sonderbauten, wenn ihre Erfüllung wegen der besonderen Art oder Nutzung oder wegen anderer besonderer Anforderungen nicht erforderlich ist.</w:t>
      </w:r>
    </w:p>
    <w:p>
      <w:r>
        <w:t xml:space="preserve">(4) Bei bestandsgeschützten baulichen Anlagen können Anforderungen gestellt werden, wenn das zur Abwehr von erheblichen Gefahren für Leben und Gesundheit notwendig ist.</w:t>
      </w:r>
    </w:p>
    <w:p>
      <w:r>
        <w:t xml:space="preserve">(5) Werden bestehende bauliche Anlagen wesentlich geändert, so kann angeordnet werden, dass auch die von der Änderung nicht berührten Teile dieser baulichen Anlagen mit diesem Gesetz oder den auf Grund dieses Gesetzes erlassenen Vorschriften in Einklang gebracht werden, wenn das aus Gründen des Art. 3 Satz 1 erforderlich und dem Bauherrn wirtschaftlich zumutbar ist und diese Teile mit den Teilen, die geändert werden sollen, in einem konstruktiven Zusammenhang stehen oder mit ihnen unmittelbar verbunden sind.</w:t>
      </w:r>
    </w:p>
    <w:p>
      <w:r>
        <w:t xml:space="preserve">(6) Bei Modernisierungsvorhaben soll von der Anwendung des Abs. 5 abgesehen werden, wenn sonst die Modernisierung erheblich erschwert würde.</w:t>
      </w:r>
    </w:p>
    <w:p>
      <w:r>
        <w:rPr>
          <w:color w:val="555555"/>
          <w:sz w:val="17"/>
        </w:rPr>
        <w:t xml:space="preserve">Zitiervorschlag: Art 54 BayBO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https://recht.nulegal.eu/gesetze/BayBO/54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