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BayBO (Bayern) — Aufbau und Zuständigkeit der Bauaufsichtsbehörden, Verordnungsermächtigung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Untere Bauaufsichtsbehörden sind die Kreisverwaltungsbehörden, höhere Bauaufsichtsbehörden sind die Regierungen, oberste Bauaufsichtsbehörde ist das Staatsministerium für Wohnen, Bau und Verkehr. Für den Vollzug dieses Gesetzes sowie anderer öffentlich-rechtlicher Vorschriften für die Errichtung, Änderung, Nutzungsänderung und Beseitigung sowie die Nutzung und Instandhaltung von Anlagen ist die untere Bauaufsichtsbehörde zuständig, soweit nichts anderes bestimmt ist. Satz 2 gilt nicht für bauliche Anlagen inländischer öffentlicher Stellen auf dauerhaft militärisch genutzten Grundstücken, die im Eigentum des Bundes stehen oder deren militärische Nutzung dinglich gesichert ist (Militärgelände).</w:t>
      </w:r>
    </w:p>
    <w:p>
      <w:r>
        <w:t xml:space="preserve">(2) Das Staatsministerium für Wohnen, Bau und Verkehr überträgt leistungsfähigen kreisangehörigen Gemeinden auf Antrag durch Rechtsverordnung die Aufgaben der unteren Bauaufsichtsbehörde. Das Staatsministerium für Wohnen, Bau und Verkehr kann die Rechtsverordnung nach Satz 1 auf Antrag der Gemeinde aufheben. Die Rechtsverordnung ist aufzuheben, wenn die Voraussetzungen für ihren Erlass nach Satz 1 und Abs. 3 Satz 1 bis 3 nicht vorgelegen haben oder nicht mehr vorliegen. Werden Aufgaben der unteren Bauaufsichtsbehörde nach Satz 1 übertragen, ist für die Entscheidung über Anträge nach Art. 63 Abs. 2 Satz 2, Art. 64 Abs. 1 Satz 1, Art. 70 Satz 1 und Art. 71 Satz 1 als untere Bauaufsichtsbehörde diejenige Behörde zuständig, die zum Zeitpunkt des Eingangs des Antrags bei der Gemeinde zuständig war; das gilt entsprechend bei der Erhebung einer Gemeinde zur Großen Kreisstadt.</w:t>
      </w:r>
    </w:p>
    <w:p>
      <w:r>
        <w:t xml:space="preserve">(3) Die Bauaufsichtsbehörden sind für ihre Aufgaben ausreichend mit geeigneten Fachkräften zu besetzen. Den unteren Bauaufsichtsbehörden müssen</w:t>
      </w:r>
    </w:p>
    <w:p>
      <w:r>
        <w:t xml:space="preserve">1. Beamte in der Fachlaufbahn Verwaltung und Finanzen, fachlicher Schwerpunkt nichttechnischer Verwaltungsdienst,</w:t>
      </w:r>
    </w:p>
    <w:p>
      <w:r>
        <w:t xml:space="preserve">2. Beamte in der Fachlaufbahn Naturwissenschaft und Technik, fachlicher Schwerpunkt bautechnischer und umweltfachlicher Verwaltungsdienst, mit besonderen Kenntnissen im Hochbau oder Städtebau</w:t>
      </w:r>
    </w:p>
    <w:p>
      <w:r>
        <w:t xml:space="preserve">angehören, die jeweils mindestens ein Amt der Besoldungsgruppe A 13 innehaben und für ein Amt ab der Besoldungsgruppe A 14 qualifiziert sind. An Stelle von Beamten im Sinn des Satzes 2 Nr. 2 können auch Beamte, die mindestens ein Amt der Besoldungsgruppe A 9 in der Fachlaufbahn Naturwissenschaft und Technik, fachlicher Schwerpunkt bautechnischer und umweltfachlicher Verwaltungsdienst, innehaben und für ein Amt ab der Besoldungsgruppe A 10 qualifiziert sind, beschäftigt werden, wenn sie über eine langjährige Berufserfahrung im Aufgabenbereich des leitenden bautechnischen Mitarbeiters der unteren Bauaufsichtsbehörde verfügen und sich in diesem Aufgabenbereich bewährt haben; in begründeten Ausnahmefällen, insbesondere wenn geeignete Beamte des bautechnischen Verwaltungsdienstes nicht gewonnen werden können, dürfen an Stelle von Beamten auch vergleichbar qualifizierte Arbeitnehmer beschäftigt werden. Das bautechnische Personal und die notwendigen Hilfskräfte bei den Landratsämtern sind von den Landkreisen anzustellen.</w:t>
      </w:r>
    </w:p>
    <w:p>
      <w:r>
        <w:rPr>
          <w:color w:val="555555"/>
          <w:sz w:val="17"/>
        </w:rPr>
        <w:t xml:space="preserve">Zitiervorschlag: Art 53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