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BayBO (Bayern) — Unternehmer</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Unternehmer ist für die mit den öffentlich-rechtlichen Anforderungen übereinstimmende Ausführung der von ihm übernommenen Arbeiten und insoweit für die ordnungsgemäße Einrichtung und den sicheren Betrieb der Baustelle verantwortlich. Erforderliche Nachweise und Unterlagen hat er zu erbringen und auf der Baustelle bereitzuhalten. Werden Bauprodukte verwendet, die die CE-Kennzeichnung nach der Verordnung (EU) Nr. 305/2011 tragen, ist die Leistungserklärung bereitzuhalten.</w:t>
      </w:r>
    </w:p>
    <w:p>
      <w:r>
        <w:t xml:space="preserve">(2) Jeder Unternehmer hat auf Verlangen der Bauaufsichtsbehörde für Arbeiten, bei denen die Sicherheit der Anlage in außergewöhnlichem Maße von der besonderen Sachkenntnis und Erfahrung des Unternehmers oder von einer Ausstattung des Unternehmens mit besonderen Vorrichtungen abhängt, nachzuweisen, dass er für diese Arbeiten geeignet ist und über die erforderlichen Vorrichtungen verfügt.</w:t>
      </w:r>
    </w:p>
    <w:p>
      <w:r>
        <w:rPr>
          <w:color w:val="555555"/>
          <w:sz w:val="17"/>
        </w:rPr>
        <w:t xml:space="preserve">Zitiervorschlag: Art 52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