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48 BayBO (Bayern) — Barrierefreies Bauen</w:t>
      </w:r>
    </w:p>
    <w:p>
      <w:r>
        <w:rPr>
          <w:color w:val="555555"/>
          <w:sz w:val="18"/>
        </w:rPr>
        <w:t xml:space="preserve">Bayerische Bauordnung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In Gebäuden mit mehr als zwei Wohnungen müssen die Wohnungen eines Geschosses barrierefrei erreichbar sein; diese Verpflichtung kann auch durch barrierefrei erreichbare Wohnungen in mehreren Geschossen erfüllt werden. In Gebäuden mit mehr als zwei Wohnungen und mit nach Art. 37 Abs. 4 Satz 1 erforderlichen Aufzügen muss ein Drittel der Wohnungen barrierefrei erreichbar sein. In den Wohnungen nach den Sätzen 1 und 2 müssen die Wohn- und Schlafräume, eine Toilette, ein Bad, die Küche oder Kochnische sowie der Raum mit Anschlussmöglichkeit für eine Waschmaschine barrierefrei sein. Art. 32 Abs. 6 Satz 2, Art. 35 Abs. 2 und Art. 37 Abs. 4 und 5 bleiben unberührt.</w:t>
      </w:r>
    </w:p>
    <w:p>
      <w:r>
        <w:t xml:space="preserve">(2) Bauliche Anlagen, die öffentlich zugänglich sind, müssen in den dem allgemeinen Besucher- und Benutzerverkehr dienenden Teilen barrierefrei sein. Dies gilt insbesondere für</w:t>
      </w:r>
    </w:p>
    <w:p>
      <w:r>
        <w:t xml:space="preserve">1. Einrichtungen der Kultur und des Bildungswesens,</w:t>
      </w:r>
    </w:p>
    <w:p>
      <w:r>
        <w:t xml:space="preserve">2. Tageseinrichtungen für Kinder,</w:t>
      </w:r>
    </w:p>
    <w:p>
      <w:r>
        <w:t xml:space="preserve">3. Sport- und Freizeitstätten,</w:t>
      </w:r>
    </w:p>
    <w:p>
      <w:r>
        <w:t xml:space="preserve">4. Einrichtungen des Gesundheitswesens,</w:t>
      </w:r>
    </w:p>
    <w:p>
      <w:r>
        <w:t xml:space="preserve">5. Büro-, Verwaltungs- und Gerichtsgebäude,</w:t>
      </w:r>
    </w:p>
    <w:p>
      <w:r>
        <w:t xml:space="preserve">6. Verkaufsstätten,</w:t>
      </w:r>
    </w:p>
    <w:p>
      <w:r>
        <w:t xml:space="preserve">7. Gaststätten, die keiner gaststättenrechtlichen Erlaubnis bedürfen,</w:t>
      </w:r>
    </w:p>
    <w:p>
      <w:r>
        <w:t xml:space="preserve">8. Beherbergungsstätten,</w:t>
      </w:r>
    </w:p>
    <w:p>
      <w:r>
        <w:t xml:space="preserve">9. Stellplätze, Garagen und Toilettenanlagen.</w:t>
      </w:r>
    </w:p>
    <w:p>
      <w:r>
        <w:t xml:space="preserve">Für die der zweckentsprechenden Nutzung dienenden Räume und Anlagen genügt es, wenn sie in dem erforderlichen Umfang barrierefrei sind. Toilettenräume und Stellplätze für Besucher und Benutzer müssen in der erforderlichen Anzahl barrierefrei sein. Diese Anforderungen gelten nicht bei Nutzungsänderungen, wenn die Anforderungen nur mit unverhältnismäßigem Aufwand erfüllt werden können. Die Anforderungen an Gaststätten, die einer gaststättenrechtlichen Erlaubnis bedürfen, sind im Rahmen des gaststättenrechtlichen Erlaubnisverfahrens zu beachten.</w:t>
      </w:r>
    </w:p>
    <w:p>
      <w:r>
        <w:t xml:space="preserve">(3) Bauliche Anlagen und Einrichtungen, die überwiegend oder ausschließlich von Menschen mit Behinderung, alten Menschen und Personen mit Kleinkindern genutzt werden, wie</w:t>
      </w:r>
    </w:p>
    <w:p>
      <w:r>
        <w:t xml:space="preserve">1. Tagesstätten, Werkstätten und stationäre Einrichtungen für Menschen mit Behinderung,</w:t>
      </w:r>
    </w:p>
    <w:p>
      <w:r>
        <w:t xml:space="preserve">2. stationäre Einrichtungen für pflegebedürftige und alte Menschen</w:t>
      </w:r>
    </w:p>
    <w:p>
      <w:r>
        <w:t xml:space="preserve">müssen in allen der zweckentsprechenden Nutzung dienenden Teilen barrierefrei sein.</w:t>
      </w:r>
    </w:p>
    <w:p>
      <w:r>
        <w:t xml:space="preserve">(4) Die Abs. 1 bis 3 gelten nicht, soweit die Anforderungen wegen schwieriger Geländeverhältnisse, wegen ungünstiger vorhandener Bebauung oder im Hinblick auf die Sicherheit der Menschen mit Behinderung oder alten Menschen oder bei Anlagen nach Abs. 1 auch wegen des Einbaus eines sonst nicht erforderlichen Aufzugs nur mit einem unverhältnismäßigen Mehraufwand erfüllt werden können. Bei bestehenden baulichen Anlagen im Sinn der Abs. 2 und 3 soll die Bauaufsichtsbehörde verlangen, dass ein gleichwertiger Zustand hergestellt wird, wenn das technisch möglich und dem Eigentümer wirtschaftlich zumutbar ist.</w:t>
      </w:r>
    </w:p>
    <w:p>
      <w:r>
        <w:rPr>
          <w:color w:val="555555"/>
          <w:sz w:val="17"/>
        </w:rPr>
        <w:t xml:space="preserve">Zitiervorschlag: Art 48 BayBO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https://recht.nulegal.eu/gesetze/BayBO/48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