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BayBO (Bayern) — Stellplätze, Verordnungsermächtigung</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Wenn die Gemeinde dies durch Satzung nach Art. 81 Abs. 1 Nr. 4 angeordnet hat, sind Stellplätze auf dem Baugrundstück oder auf einem geeigneten Grundstück in der Nähe des Baugrundstücks herzustellen. Bei Herstellung der Stellplätze auf einem geeigneten Grundstück in der Nähe des Baugrundstücks ist dessen Benutzung für diesen Zweck gegenüber dem Rechtsträger der Bauaufsichtsbehörde rechtlich zu sichern.</w:t>
      </w:r>
    </w:p>
    <w:p>
      <w:r>
        <w:t xml:space="preserve">(2) Die Zahl der notwendigen Stellplätze nach Abs. 1 Satz 1 legt das Staatsministerium für Wohnen, Bau und Verkehr durch Rechtsverordnung fest. Wird eine geringere Zahl notwendiger Stellplätze durch Satzung nach Art. 81 Abs. 1 Nr. 4 festgelegt, ist diese Zahl maßgeblich.</w:t>
      </w:r>
    </w:p>
    <w:p>
      <w:r>
        <w:rPr>
          <w:color w:val="555555"/>
          <w:sz w:val="17"/>
        </w:rPr>
        <w:t xml:space="preserve">Zitiervorschlag: Art 47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