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45 BayBO (Bayern) — Aufenthaltsräume</w:t>
      </w:r>
    </w:p>
    <w:p>
      <w:r>
        <w:rPr>
          <w:color w:val="555555"/>
          <w:sz w:val="18"/>
        </w:rPr>
        <w:t xml:space="preserve">Bayerische Bauordnung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Aufenthaltsräume müssen eine lichte Raumhöhe von mindestens 2,40 m, im Dachgeschoss über der Hälfte ihrer Nutzfläche 2,20 m haben, wobei Raumteile mit einer lichten Höhe unter 1,50 m außer Betracht bleiben. Das gilt nicht für Aufenthaltsräume in Wohngebäuden der Gebäudeklassen 1 und 2.</w:t>
      </w:r>
    </w:p>
    <w:p>
      <w:r>
        <w:t xml:space="preserve">(2) Aufenthaltsräume müssen ausreichend belüftet und mit Tageslicht belichtet werden können. Sie müssen Fenster mit einem Rohbaumaß der Fensteröffnungen von mindestens einem Achtel der Netto-Grundfläche des Raums einschließlich der Netto-Grundfläche verglaster Vorbauten und Loggien haben.</w:t>
      </w:r>
    </w:p>
    <w:p>
      <w:r>
        <w:t xml:space="preserve">(3) Aufenthaltsräume, deren Nutzung eine Belichtung mit Tageslicht verbietet, sowie Verkaufsräume, Schank- und Speisegaststätten, ärztliche Behandlungs-, Sport-, Spiel-, Werk- und ähnliche Räume sind ohne Fenster zulässig.</w:t>
      </w:r>
    </w:p>
    <w:p>
      <w:r>
        <w:t xml:space="preserve">(4) In Beherbergungsstätten, die keine Sonderbauten sind, müssen Schlafräume jeweils mindestens einen Rauchwarnmelder haben. Die Rauchwarnmelder müssen so eingebaut oder angebracht und betrieben werden, dass Brandrauch frühzeitig erkannt und gemeldet wird.</w:t>
      </w:r>
    </w:p>
    <w:p>
      <w:r>
        <w:rPr>
          <w:color w:val="555555"/>
          <w:sz w:val="17"/>
        </w:rPr>
        <w:t xml:space="preserve">Zitiervorschlag: Art 45 BayBO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https://recht.nulegal.eu/gesetze/BayBO/45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