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BayBO (Bayern) — Nicht durch Sammelkanalisation erschlossene Anwesen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einwandfreie Beseitigung des Abwassers einschließlich des Fäkalschlamms innerhalb und außerhalb des Grundstücks muss gesichert sein.</w:t>
      </w:r>
    </w:p>
    <w:p>
      <w:r>
        <w:t xml:space="preserve">(2) Hausabwässer aus abgelegenen landwirtschaftlichen Anwesen oder abgelegenen Anwesen, die früher einem landwirtschaftlichen Betrieb dienten und deren Hausabwässer bereits in Gruben eingeleitet worden sind, dürfen in Gruben eingeleitet werden, wenn</w:t>
      </w:r>
    </w:p>
    <w:p>
      <w:r>
        <w:t xml:space="preserve">1. das Abwasser in einer Mehrkammerausfaulgrube vorbehandelt wird und</w:t>
      </w:r>
    </w:p>
    <w:p>
      <w:r>
        <w:t xml:space="preserve">2. die ordnungsgemäße Entsorgung oder Verwertung des geklärten Abwassers und des Fäkalschlamms gesichert ist.</w:t>
      </w:r>
    </w:p>
    <w:p>
      <w:r>
        <w:t xml:space="preserve">(3) Für die Einleitung von Hausabwässern aus abgelegenen landwirtschaftlichen Anwesen in Biogasanlagen gilt Abs. 2 entsprechend. Die Vorbehandlung in einer Mehrkammerausfaulgrube ist nicht erforderlich, wenn durch den Betrieb der Biogasanlage eine gleichwertige Hygienisierung sichergestellt ist.</w:t>
      </w:r>
    </w:p>
    <w:p>
      <w:r>
        <w:rPr>
          <w:color w:val="555555"/>
          <w:sz w:val="17"/>
        </w:rPr>
        <w:t xml:space="preserve">Zitiervorschlag: Art 41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