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BayBO (Bayern) — Bebauung der Grundstücke mit Gebäuden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Gebäude dürfen nur unter folgenden Voraussetzungen errichtet werden:</w:t>
      </w:r>
    </w:p>
    <w:p>
      <w:r>
        <w:t xml:space="preserve">1. Das Grundstück muss nach Lage, Form, Größe und Beschaffenheit für die beabsichtigte Bebauung geeignet sein;</w:t>
      </w:r>
    </w:p>
    <w:p>
      <w:r>
        <w:t xml:space="preserve">2. das Grundstück muss in einer angemessenen Breite an einer befahrbaren öffentlichen Verkehrsfläche liegen.</w:t>
      </w:r>
    </w:p>
    <w:p>
      <w:r>
        <w:t xml:space="preserve">(2) Abweichend von Abs. 1 Nr. 2 sind im Geltungsbereich eines Bebauungsplans im Sinn der §§ 12 und 30 Abs. 1 des Baugesetzbuchs (BauGB) und innerhalb eines im Zusammenhang bebauten Ortsteils (§ 34 BauGB) nicht erforderlich</w:t>
      </w:r>
    </w:p>
    <w:p>
      <w:r>
        <w:t xml:space="preserve">1. die Befahrbarkeit von Wohnwegen begrenzter Länge, wenn keine Bedenken wegen des Brandschutzes oder des Rettungsdienstes bestehen,</w:t>
      </w:r>
    </w:p>
    <w:p>
      <w:r>
        <w:t xml:space="preserve">2. die Widmung von Wohnwegen begrenzter Länge, wenn von dem Wohnweg nur Wohngebäude der Gebäudeklassen 1 bis 3 erschlossen werden und gegenüber dem Rechtsträger der Bauaufsichtsbehörde rechtlich gesichert ist, dass der Wohnweg sachgerecht unterhalten wird und allgemein benutzt werden kann.</w:t>
      </w:r>
    </w:p>
    <w:p>
      <w:r>
        <w:t xml:space="preserve">(3) Im Außenbereich genügt eine befahrbare, gegenüber dem Rechtsträger der Bauaufsichtsbehörde rechtlich gesicherte Zufahrt zu einem befahrbaren öffentlichen Weg.</w:t>
      </w:r>
    </w:p>
    <w:p>
      <w:r>
        <w:rPr>
          <w:color w:val="555555"/>
          <w:sz w:val="17"/>
        </w:rPr>
        <w:t xml:space="preserve">Zitiervorschlag: Art 4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