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BayBO (Bayern) — Aufzüge</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Aufzüge im Innern von Gebäuden müssen eigene Fahrschächte haben, um eine Brandausbreitung in andere Geschosse ausreichend lang zu verhindern. In einem Fahrschacht dürfen bis zu drei Aufzüge liegen. Aufzüge ohne eigene Fahrschächte sind zulässig</w:t>
      </w:r>
    </w:p>
    <w:p>
      <w:r>
        <w:t xml:space="preserve">1. innerhalb eines notwendigen Treppenraums, ausgenommen in Hochhäusern,</w:t>
      </w:r>
    </w:p>
    <w:p>
      <w:r>
        <w:t xml:space="preserve">2. innerhalb von Räumen, die Geschosse überbrücken,</w:t>
      </w:r>
    </w:p>
    <w:p>
      <w:r>
        <w:t xml:space="preserve">3. zur Verbindung von Geschossen, die offen miteinander in Verbindung stehen dürfen,</w:t>
      </w:r>
    </w:p>
    <w:p>
      <w:r>
        <w:t xml:space="preserve">4. in Gebäuden der Gebäudeklassen 1 und 2;</w:t>
      </w:r>
    </w:p>
    <w:p>
      <w:r>
        <w:t xml:space="preserve">sie müssen sicher umkleidet sein.</w:t>
      </w:r>
    </w:p>
    <w:p>
      <w:r>
        <w:t xml:space="preserve">(2) Die Fahrschachtwände müssen als raumabschließende Bauteile</w:t>
      </w:r>
    </w:p>
    <w:p>
      <w:r>
        <w:t xml:space="preserve">1. in Gebäuden der Gebäudeklasse 5 feuerbeständig und aus nichtbrennbaren Baustoffen,</w:t>
      </w:r>
    </w:p>
    <w:p>
      <w:r>
        <w:t xml:space="preserve">2. in Gebäuden der Gebäudeklasse 4 hochfeuerhemmend,</w:t>
      </w:r>
    </w:p>
    <w:p>
      <w:r>
        <w:t xml:space="preserve">3. in Gebäuden der Gebäudeklasse 3 feuerhemmend</w:t>
      </w:r>
    </w:p>
    <w:p>
      <w:r>
        <w:t xml:space="preserve">sein; Fahrschachtwände aus brennbaren Baustoffen müssen schachtseitig eine Bekleidung aus nichtbrennbaren Baustoffen in ausreichender Dicke haben. Fahrschachttüren und andere Öffnungen in Fahrschachtwänden mit erforderlicher Feuerwiderstandsfähigkeit sind so herzustellen, dass die Anforderungen nach Abs. 1 Satz 1 nicht beeinträchtigt werden.</w:t>
      </w:r>
    </w:p>
    <w:p>
      <w:r>
        <w:t xml:space="preserve">(3) Fahrschächte müssen zu lüften sein und eine Öffnung zur Rauchableitung mit einem freien Querschnitt von mindestens 2,5 v. H. der Fahrschachtgrundfläche, mindestens jedoch 0,10 m 2 haben. Diese Öffnung darf einen Abschluss haben, der im Brandfall selbsttätig öffnet und von mindestens einer geeigneten Stelle aus bedient werden kann. Die Lage der Rauchaustrittsöffnungen muss so gewählt werden, dass der Rauchaustritt durch Windeinfluss nicht beeinträchtigt wird.</w:t>
      </w:r>
    </w:p>
    <w:p>
      <w:r>
        <w:t xml:space="preserve">(4) Gebäude mit einer Höhe nach Art. 2 Abs. 3 Satz 2 von mehr als 13 m müssen Aufzüge in ausreichender Zahl haben. Von diesen Aufzügen muss mindestens ein Aufzug Kinderwagen, Rollstühle, Krankentragen und Lasten aufnehmen können und Haltestellen in allen Geschossen haben. Dieser Aufzug muss von allen Wohnungen in dem Gebäude und von der öffentlichen Verkehrsfläche aus stufenlos erreichbar sein. Haltestellen im obersten Geschoss, im Erdgeschoss und in den Kellergeschossen sind nicht erforderlich, wenn sie nur unter besonderen Schwierigkeiten hergestellt werden können. Die Sätze 1 bis 4 gelten nicht bei der Schaffung von Wohnraum durch Aufstockung, wenn die Anforderungen nur mit einem unverhältnismäßigen Aufwand erfüllt werden können.</w:t>
      </w:r>
    </w:p>
    <w:p>
      <w:r>
        <w:t xml:space="preserve">(5) Fahrkörbe zur Aufnahme einer Krankentrage müssen eine nutzbare Grundfläche von mindestens 1,10 m x 2,10 m, zur Aufnahme eines Rollstuhls von mindestens 1,10 m x 1,40 m haben; Türen müssen eine lichte Durchgangsbreite von mindestens 0,90 m haben. In einem Aufzug für Rollstühle und Krankentragen darf der für Rollstühle nicht erforderliche Teil der Fahrkorbgrundfläche durch eine verschließbare Tür abgesperrt werden. Vor den Aufzügen muss eine ausreichende Bewegungsfläche vorhanden sein.</w:t>
      </w:r>
    </w:p>
    <w:p>
      <w:r>
        <w:rPr>
          <w:color w:val="555555"/>
          <w:sz w:val="17"/>
        </w:rPr>
        <w:t xml:space="preserve">Zitiervorschlag: Art 37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