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BayBO (Bayern) — Außenwände</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Außenwände und Außenwandteile wie Brüstungen und Schürzen sind so auszubilden, dass eine Brandausbreitung auf und in diesen Bauteilen ausreichend lang begrenzt ist.</w:t>
      </w:r>
    </w:p>
    <w:p>
      <w:r>
        <w:t xml:space="preserve">(2) Nichttragende Außenwände und nichttragende Teile tragender Außenwände müssen aus nichtbrennbaren Baustoffen bestehen; sie sind aus brennbaren Baustoffen zulässig, wenn sie als raumabschließende Bauteile feuerhemmend sind. Satz 1 gilt nicht für</w:t>
      </w:r>
    </w:p>
    <w:p>
      <w:r>
        <w:t xml:space="preserve">1. Fenster und Türen,</w:t>
      </w:r>
    </w:p>
    <w:p>
      <w:r>
        <w:t xml:space="preserve">2. Fugendichtungen und</w:t>
      </w:r>
    </w:p>
    <w:p>
      <w:r>
        <w:t xml:space="preserve">3. brennbare Dämmstoffe in nichtbrennbaren geschlossenen Profilen der Außenwandkonstruktion.</w:t>
      </w:r>
    </w:p>
    <w:p>
      <w:r>
        <w:t xml:space="preserve">(3) Oberflächen von Außenwänden sowie Außenwandbekleidungen müssen einschließlich der Dämmstoffe und Unterkonstruktionen schwerentflammbar sein; Unterkonstruktionen aus normalentflammbaren Baustoffen sind zulässig, wenn die Anforderungen nach Abs. 1 erfüllt sind. Balkonbekleidungen, die über die erforderliche Umwehrungshöhe hinaus hochgeführt werden, und mehr als zwei Geschosse überbrückende Solaranlagen an Außenwänden müssen schwerentflammbar sein. Baustoffe, die schwerentflammbar sein müssen, in Bauteilen nach Satz 1 Halbsatz 1 und Satz 2 dürfen nicht brennend abfallen oder abtropfen.</w:t>
      </w:r>
    </w:p>
    <w:p>
      <w:r>
        <w:t xml:space="preserve">(4) Bei Außenwandkonstruktionen mit geschossübergreifenden Hohl- oder Lufträumen wie Doppelfassaden sind gegen die Brandausbreitung besondere Vorkehrungen zu treffen; das gilt für hinterlüftete Außenwandbekleidungen entsprechend.</w:t>
      </w:r>
    </w:p>
    <w:p>
      <w:r>
        <w:t xml:space="preserve">(5) Die Abs. 2, 3 und 4 Halbsatz 2 gelten nicht für Gebäude der Gebäudeklassen 1 bis 3, Abs. 4 Halbsatz 1 nicht für Gebäude der Gebäudeklassen 1 und 2. Abweichend von Abs. 3 sind Außenwandbekleidungen, die den Technischen Baubestimmungen nach Art. 81a entsprechen, mit Ausnahme der Dämmstoffe, aus normalentflammbaren Baustoffen zulässig.</w:t>
      </w:r>
    </w:p>
    <w:p>
      <w:r>
        <w:rPr>
          <w:color w:val="555555"/>
          <w:sz w:val="17"/>
        </w:rPr>
        <w:t xml:space="preserve">Zitiervorschlag: Art 26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