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BayBO (Bayern) — Tragende Wände, Stützen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Tragende und aussteifende Wände und Stützen müssen im Brandfall ausreichend lang standsicher sein. Sie müssen</w:t>
      </w:r>
    </w:p>
    <w:p>
      <w:r>
        <w:t xml:space="preserve">1. in Gebäuden der Gebäudeklasse 5 feuerbeständig,</w:t>
      </w:r>
    </w:p>
    <w:p>
      <w:r>
        <w:t xml:space="preserve">2. in Gebäuden der Gebäudeklasse 4 hochfeuerhemmend,</w:t>
      </w:r>
    </w:p>
    <w:p>
      <w:r>
        <w:t xml:space="preserve">3. in Gebäuden der Gebäudeklassen 2 und 3 feuerhemmend</w:t>
      </w:r>
    </w:p>
    <w:p>
      <w:r>
        <w:t xml:space="preserve">sein. Satz 2 gilt</w:t>
      </w:r>
    </w:p>
    <w:p>
      <w:r>
        <w:t xml:space="preserve">1. für Geschosse im Dachraum nur, wenn darüber noch Aufenthaltsräume möglich sind; Art. 27 Abs. 4 bleibt unberührt,</w:t>
      </w:r>
    </w:p>
    <w:p>
      <w:r>
        <w:t xml:space="preserve">2. nicht für Balkone, ausgenommen offene Gänge, die als notwendige Flure dienen.</w:t>
      </w:r>
    </w:p>
    <w:p>
      <w:r>
        <w:t xml:space="preserve">(2) Im Kellergeschoss müssen tragende und aussteifende Wände und Stützen</w:t>
      </w:r>
    </w:p>
    <w:p>
      <w:r>
        <w:t xml:space="preserve">1. in Gebäuden der Gebäudeklassen 3 bis 5 feuerbeständig,</w:t>
      </w:r>
    </w:p>
    <w:p>
      <w:r>
        <w:t xml:space="preserve">2. in Gebäuden der Gebäudeklassen 1 und 2 feuerhemmend</w:t>
      </w:r>
    </w:p>
    <w:p>
      <w:r>
        <w:t xml:space="preserve">sein.</w:t>
      </w:r>
    </w:p>
    <w:p>
      <w:r>
        <w:rPr>
          <w:color w:val="555555"/>
          <w:sz w:val="17"/>
        </w:rPr>
        <w:t xml:space="preserve">Zitiervorschlag: Art 25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