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BayBO (Bayern) — Besondere Sachkunde- und Sorgfaltsanforderungen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der allgemeinen bauaufsichtlichen Zulassung oder in der Zustimmung im Einzelfall kann vorgeschrieben werden, dass</w:t>
      </w:r>
    </w:p>
    <w:p>
      <w:r>
        <w:t xml:space="preserve">1. der Hersteller von Bauprodukten, deren Herstellung in außergewöhnlichem Maß von der Sachkunde und Erfahrung der damit betrauten Personen oder von einer Ausstattung mit besonderen Vorrichtungen abhängt, über solche Fachkräfte und Vorrichtungen verfügen muss und den Nachweis hierüber gegenüber einer Prüfstelle zu erbringen hat,</w:t>
      </w:r>
    </w:p>
    <w:p>
      <w:r>
        <w:t xml:space="preserve">2. der Einbau, der Transport, die Instandhaltung oder die Reinigung von Bauprodukten, die wegen ihrer besonderen Eigenschaften oder ihres besonderen Verwendungszwecks einer außergewöhnlichen Sorgfalt bedürfen, durch eine Überwachungsstelle zu überwachen sind, soweit diese Tätigkeiten nicht bereits durch die Verordnung (EU) Nr. 305/2011 erfasst sind.</w:t>
      </w:r>
    </w:p>
    <w:p>
      <w:r>
        <w:rPr>
          <w:color w:val="555555"/>
          <w:sz w:val="17"/>
        </w:rPr>
        <w:t xml:space="preserve">Zitiervorschlag: Art 22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