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BayBO (Bayern) — Verwendung von Bauprodukten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CE-gekennzeichnete Bauprodukte dürfen verwendet werden, wenn die erklärten Leistungen den in diesem Gesetz oder auf Grund dieses Gesetzes festgelegten Anforderungen für diese Verwendung entsprechen. Auf Bauprodukte, die die CE-Kennzeichnung auf Grund der Verordnung (EU) Nr. 305/2011 tragen, finden die Art. 17 bis 22 Nr. 1 und Art. 23 keine Anwendung.</w:t>
      </w:r>
    </w:p>
    <w:p>
      <w:r>
        <w:t xml:space="preserve">(2) Im Übrigen dürfen Bauprodukte nur verwendet werden, wenn sie gebrauchstauglich sind und bei ihrer Verwendung die baulichen Anlagen bei ordnungsgemäßer Instandhaltung während einer dem Zweck entsprechenden angemessenen Zeitdauer die Anforderungen dieses Gesetzes oder auf Grund dieses Gesetzes erfüllen. Dies gilt auch für Bauprodukte, die technischen Anforderungen entsprechen, wie sie in den Vorschriften anderer Vertragsstaaten des Abkommens vom 2. Mai 1992 über den Europäischen Wirtschaftsraum enthalten sind.</w:t>
      </w:r>
    </w:p>
    <w:p>
      <w:r>
        <w:rPr>
          <w:color w:val="555555"/>
          <w:sz w:val="17"/>
        </w:rPr>
        <w:t xml:space="preserve">Zitiervorschlag: Art 16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