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BayBO (Bayern) — Bauarten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Bauarten dürfen nur angewendet werden, wenn sie für ihren Anwendungszweck tauglich sind und bei ihrer Anwendung die baulichen Anlagen bei ordnungsgemäßer Instandhaltung während einer dem Zweck entsprechenden angemessenen Zeitdauer die Anforderungen dieses Gesetzes oder auf Grund dieses Gesetzes erfüllen.</w:t>
      </w:r>
    </w:p>
    <w:p>
      <w:r>
        <w:t xml:space="preserve">(2) Bauarten, die von Technischen Baubestimmungen in Bezug auf die Planung, Bemessung und Ausführung baulicher Anlagen und ihrer Teile wesentlich abweichen, oder für die es keine allgemein anerkannten Regeln der Technik gibt, dürfen nur angewendet werden, wenn für sie</w:t>
      </w:r>
    </w:p>
    <w:p>
      <w:r>
        <w:t xml:space="preserve">1. eine allgemeine Bauartgenehmigung oder</w:t>
      </w:r>
    </w:p>
    <w:p>
      <w:r>
        <w:t xml:space="preserve">2. eine vorhabenbezogene Bauartgenehmigung</w:t>
      </w:r>
    </w:p>
    <w:p>
      <w:r>
        <w:t xml:space="preserve">erteilt worden ist. Art. 18 gilt entsprechend.</w:t>
      </w:r>
    </w:p>
    <w:p>
      <w:r>
        <w:t xml:space="preserve">(3) Anstelle einer allgemeinen Bauartgenehmigung genügt ein allgemeines bauaufsichtliches Prüfzeugnis, wenn die Bauart nach allgemein anerkannten Prüfverfahren beurteilt werden kann. Art. 18 gilt entsprechend.</w:t>
      </w:r>
    </w:p>
    <w:p>
      <w:r>
        <w:t xml:space="preserve">(4) Sind Gefahren für die öffentliche Sicherheit und Ordnung, insbesondere Leben und Gesundheit, und die natürlichen Lebensgrundlagen nicht zu erwarten, kann die oberste Bauaufsichtsbehörde festlegen, dass eine Bauartgenehmigung nicht erforderlich ist.</w:t>
      </w:r>
    </w:p>
    <w:p>
      <w:r>
        <w:t xml:space="preserve">(5) Für jede Bauart muss bestätigt werden, dass sie mit den Technischen Baubestimmungen, den allgemeinen Bauartgenehmigungen, den allgemeinen bauaufsichtlichen Prüfzeugnissen für Bauarten oder den vorhabenbezogenen Bauartgenehmigungen übereinstimmt. Unwesentliche Abweichungen bleiben außer Betracht. Art. 21 Abs. 3 gilt für den Anwender der Bauart entsprechend.</w:t>
      </w:r>
    </w:p>
    <w:p>
      <w:r>
        <w:t xml:space="preserve">(6) Hängt die Anwendung einer Bauart in außergewöhnlichem Maß von der Sachkunde und Erfahrung der damit betrauten Personen oder von einer Ausstattung mit besonderen Vorrichtungen ab oder bedarf die Bauart einer außergewöhnlichen Sorgfalt bei Ausführung oder Instandhaltung, gilt Art. 22 entsprechend.</w:t>
      </w:r>
    </w:p>
    <w:p>
      <w:r>
        <w:rPr>
          <w:color w:val="555555"/>
          <w:sz w:val="17"/>
        </w:rPr>
        <w:t xml:space="preserve">Zitiervorschlag: Art 15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