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BayBO (Bayern) — Verkehrssicherheit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Bauliche Anlagen und die dem Verkehr dienenden nicht überbauten Flächen bebauter Grundstücke müssen verkehrssicher sein.</w:t>
      </w:r>
    </w:p>
    <w:p>
      <w:r>
        <w:t xml:space="preserve">(2) Die Sicherheit und Leichtigkeit des öffentlichen Verkehrs darf durch bauliche Anlagen und deren Nutzung nicht gefährdet werden.</w:t>
      </w:r>
    </w:p>
    <w:p>
      <w:r>
        <w:rPr>
          <w:color w:val="555555"/>
          <w:sz w:val="17"/>
        </w:rPr>
        <w:t xml:space="preserve">Zitiervorschlag: Art 14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