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BayBGG (Bayern) — Kommunikation von Menschen mit Hör- oder Sprachbehinderung</w:t>
      </w:r>
    </w:p>
    <w:p>
      <w:r>
        <w:rPr>
          <w:color w:val="555555"/>
          <w:sz w:val="18"/>
        </w:rPr>
        <w:t xml:space="preserve">Bayerisches Behindertengleichstellungsgesetz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Deutsche Gebärdensprache ist als eigenständige Sprache anerkannt.</w:t>
      </w:r>
    </w:p>
    <w:p>
      <w:r>
        <w:t xml:space="preserve">(2) Lautsprachbegleitende Gebärden sind als Kommunikationsform der deutschen Sprache anerkannt.</w:t>
      </w:r>
    </w:p>
    <w:p>
      <w:r>
        <w:t xml:space="preserve">(3) Menschen mit Hör- oder Sprachbehinderung haben nach Maßgabe der einschlägigen Gesetze das Recht, die Deutsche Gebärdensprache, lautsprachbegleitende Gebärden oder andere geeignete Kommunikationshilfen zu verwenden. Aufwendungen der in Satz 1 genannten Personen für die Verwendung der Gebärdensprache oder anderer geeigneter Kommunikationshilfen werden nur nach Maßgabe des Art. 11 erstattet.</w:t>
      </w:r>
    </w:p>
    <w:p>
      <w:r>
        <w:rPr>
          <w:color w:val="555555"/>
          <w:sz w:val="17"/>
        </w:rPr>
        <w:t xml:space="preserve">Zitiervorschlag: Art 6 BayBGG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https://recht.nulegal.eu/gesetze/BayBGG/6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