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BayBGG (Bayern) — Verbandsklagerecht</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nach § 15 Abs. 3 BGG anerkannter Verband oder dessen bayerischer Landesverband kann, ohne in seinen Rechten verletzt zu sein, Klage nach Maßgabe der Verwaltungsgerichtsordnung (VwGO) oder des Sozialgerichtsgesetzes erheben auf Feststellung eines Verstoßes durch Träger der öffentlichen Gewalt gegen</w:t>
      </w:r>
    </w:p>
    <w:p>
      <w:r>
        <w:t xml:space="preserve">1. das Benachteiligungsverbot des Art. 9 Abs. 2 und die Verpflichtung zur Herstellung der Barrierefreiheit in Art. 10 Abs. 1, Art. 11 Abs. 1, Art. 12 Abs. 1 Satz 2, Art. 14 Satz 1,</w:t>
      </w:r>
    </w:p>
    <w:p>
      <w:r>
        <w:t xml:space="preserve">2. die Vorschriften zur Herstellung der Barrierefreiheit in Art. 9 Abs. 1 Satz 5 des Bayerischen Straßen- und Wegegesetzes (BayStrWG), Art. 4 Abs. 3 Satz 3 und 4 des Gesetzes über den öffentlichen Personennahverkehr in Bayern.</w:t>
      </w:r>
    </w:p>
    <w:p>
      <w:r>
        <w:t xml:space="preserve">Satz 1 gilt nicht, wenn eine Maßnahme auf Grund einer Entscheidung in einem verwaltungs- oder sozialgerichtlichen Streitverfahren erlassen worden ist.</w:t>
      </w:r>
    </w:p>
    <w:p>
      <w:r>
        <w:t xml:space="preserve">(2) Eine Klage ist nur zulässig, wenn der Verband durch die Maßnahme in seinem satzungsgemäßen Aufgabenbereich berührt wird. Soweit ein Mensch mit Behinderung selbst seine Rechte durch eine Gestaltungs- oder Leistungsklage verfolgen kann oder hätte verfolgen können, kann die Klage nach Abs. 1 nur erhoben werden, wenn der Verband geltend macht, dass es sich bei der Maßnahme um einen Fall von allgemeiner Bedeutung handelt. Dies ist insbesondere der Fall, wenn eine Vielzahl gleichgelagerter Fälle vorliegt. Vor Erhebung der Klage nach Abs. 1 Satz 1 fordert der Verband die betroffene Behörde auf, zu der von ihm behaupteten Rechtsverletzung Stellung zu nehmen. § 72 VwGO gilt entsprechend.</w:t>
      </w:r>
    </w:p>
    <w:p>
      <w:r>
        <w:rPr>
          <w:color w:val="555555"/>
          <w:sz w:val="17"/>
        </w:rPr>
        <w:t xml:space="preserve">Zitiervorschlag: Art 17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