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BayBGG (Bayern) — Barrierefreies Internet und Intranet, Verordnungsermächtigung</w:t>
      </w:r>
    </w:p>
    <w:p>
      <w:r>
        <w:rPr>
          <w:color w:val="555555"/>
          <w:sz w:val="18"/>
        </w:rPr>
        <w:t xml:space="preserve">Bayerisches Behindertengleichstellungsgesetz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Träger öffentlicher Gewalt gestalten ihre Internet- und Intranetauftritte und -angebote sowie die von ihnen zur Verfügung gestellten grafischen Programmoberflächen, die mit Mitteln der Informationstechnik dargestellt werden, unter Berücksichtigung der nach Satz 2 zu erlassenden Rechtsverordnung schrittweise technisch so, dass sie von Menschen mit Behinderung grundsätzlich uneingeschränkt genutzt werden können; dies gilt entsprechend für die Staatsanwaltschaften und Gerichte. Die Staatsregierung bestimmt durch Rechtsverordnung, nach Maßgabe der technischen, finanziellen, wirtschaftlichen und verwaltungsorganisatorischen Möglichkeiten:</w:t>
      </w:r>
    </w:p>
    <w:p>
      <w:r>
        <w:t xml:space="preserve">1. die anzustrebenden technischen Standards sowie den Zeitpunkt ihrer verbindlichen Anwendung,</w:t>
      </w:r>
    </w:p>
    <w:p>
      <w:r>
        <w:t xml:space="preserve">2. die zu gestaltenden Bereiche und Arten amtlicher Informationen,</w:t>
      </w:r>
    </w:p>
    <w:p>
      <w:r>
        <w:t xml:space="preserve">3. Übergangsfristen zur Anpassung bereits bestehender Angebote,</w:t>
      </w:r>
    </w:p>
    <w:p>
      <w:r>
        <w:t xml:space="preserve">4. Informationspflichten bei Internetauftritten und -angeboten, die zur Barrierefreiheit veröffentlicht werden sollen,</w:t>
      </w:r>
    </w:p>
    <w:p>
      <w:r>
        <w:t xml:space="preserve">5. Verfahren zur Überwachung nach den Vorgaben des Art. 8 Abs. 1 bis 3 der Richtlinie (EU) 2016/2102 sowie Verfahren zur Berichterstattung, um die Vorgaben des Art. 8 Abs. 4 bis 6 der Richtlinie (EU) 2016/2102 zu erfüllen,</w:t>
      </w:r>
    </w:p>
    <w:p>
      <w:r>
        <w:t xml:space="preserve">6. Verfahren um die Einhaltung der Anforderungen der Art. 4, 5 und 7 Abs. 1 der Richtlinie (EU) 2016/2102 zu gewährleisten.</w:t>
      </w:r>
    </w:p>
    <w:p>
      <w:r>
        <w:t xml:space="preserve">(2) Für Websites und mobile Anwendungen im Sinn des Art. 1 der Richtlinie (EU) 2016/2102 öffentlicher Stellen im Sinn des Art. 3 Abs. 1 der Richtlinie (EU) 2016/2102 gilt Abs. 1 entsprechend.</w:t>
      </w:r>
    </w:p>
    <w:p>
      <w:r>
        <w:rPr>
          <w:color w:val="555555"/>
          <w:sz w:val="17"/>
        </w:rPr>
        <w:t xml:space="preserve">Zitiervorschlag: Art 14 BayBGG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